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20" w:rsidRDefault="00602520">
      <w:pPr>
        <w:pStyle w:val="11"/>
        <w:jc w:val="both"/>
      </w:pPr>
      <w:r>
        <w:t xml:space="preserve">        </w:t>
      </w:r>
    </w:p>
    <w:p w:rsidR="00602520" w:rsidRDefault="00602520">
      <w:pPr>
        <w:pStyle w:val="11"/>
        <w:jc w:val="center"/>
        <w:rPr>
          <w:sz w:val="28"/>
        </w:rPr>
      </w:pPr>
      <w:r>
        <w:rPr>
          <w:sz w:val="28"/>
        </w:rPr>
        <w:t>Московская Академия Приборостроения и Информатики.</w:t>
      </w:r>
    </w:p>
    <w:p w:rsidR="00602520" w:rsidRDefault="00602520">
      <w:pPr>
        <w:pStyle w:val="11"/>
        <w:jc w:val="center"/>
      </w:pPr>
    </w:p>
    <w:p w:rsidR="00602520" w:rsidRDefault="00602520">
      <w:pPr>
        <w:pStyle w:val="11"/>
        <w:jc w:val="center"/>
      </w:pPr>
    </w:p>
    <w:p w:rsidR="00602520" w:rsidRDefault="00602520">
      <w:pPr>
        <w:pStyle w:val="11"/>
        <w:jc w:val="center"/>
      </w:pPr>
    </w:p>
    <w:p w:rsidR="00602520" w:rsidRDefault="00602520">
      <w:pPr>
        <w:pStyle w:val="11"/>
        <w:jc w:val="center"/>
      </w:pPr>
    </w:p>
    <w:p w:rsidR="00602520" w:rsidRDefault="00602520">
      <w:pPr>
        <w:pStyle w:val="11"/>
        <w:jc w:val="center"/>
      </w:pPr>
    </w:p>
    <w:p w:rsidR="00602520" w:rsidRDefault="00602520">
      <w:pPr>
        <w:pStyle w:val="11"/>
        <w:jc w:val="center"/>
      </w:pPr>
    </w:p>
    <w:p w:rsidR="00602520" w:rsidRDefault="00602520">
      <w:pPr>
        <w:pStyle w:val="11"/>
        <w:jc w:val="center"/>
      </w:pPr>
    </w:p>
    <w:p w:rsidR="00602520" w:rsidRDefault="00602520">
      <w:pPr>
        <w:pStyle w:val="11"/>
      </w:pPr>
    </w:p>
    <w:p w:rsidR="00602520" w:rsidRDefault="00602520">
      <w:pPr>
        <w:pStyle w:val="11"/>
        <w:jc w:val="center"/>
        <w:rPr>
          <w:sz w:val="44"/>
        </w:rPr>
      </w:pPr>
      <w:r>
        <w:rPr>
          <w:sz w:val="44"/>
        </w:rPr>
        <w:t>КОНТРОЛЬНАЯ РАБОТА</w:t>
      </w:r>
    </w:p>
    <w:p w:rsidR="00602520" w:rsidRDefault="00602520">
      <w:pPr>
        <w:pStyle w:val="11"/>
        <w:jc w:val="center"/>
        <w:rPr>
          <w:sz w:val="36"/>
        </w:rPr>
      </w:pPr>
      <w:r>
        <w:rPr>
          <w:sz w:val="36"/>
        </w:rPr>
        <w:t>На тему:</w:t>
      </w:r>
    </w:p>
    <w:p w:rsidR="00602520" w:rsidRDefault="00602520">
      <w:pPr>
        <w:pStyle w:val="11"/>
        <w:jc w:val="center"/>
        <w:rPr>
          <w:sz w:val="36"/>
        </w:rPr>
      </w:pPr>
      <w:r>
        <w:rPr>
          <w:sz w:val="36"/>
        </w:rPr>
        <w:t xml:space="preserve">Условия и значение                                                                        </w:t>
      </w:r>
    </w:p>
    <w:p w:rsidR="00602520" w:rsidRDefault="00602520">
      <w:pPr>
        <w:pStyle w:val="11"/>
        <w:jc w:val="center"/>
        <w:rPr>
          <w:sz w:val="36"/>
        </w:rPr>
      </w:pPr>
      <w:r>
        <w:rPr>
          <w:sz w:val="36"/>
        </w:rPr>
        <w:t>присоединения Украины к России.</w:t>
      </w: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center"/>
      </w:pPr>
      <w:r>
        <w:t>Студента второго курса кафедры ПР-7</w:t>
      </w:r>
    </w:p>
    <w:p w:rsidR="00602520" w:rsidRDefault="00602520">
      <w:pPr>
        <w:pStyle w:val="11"/>
        <w:jc w:val="center"/>
      </w:pPr>
      <w:r>
        <w:t>Лебедева Андрея Владимировича.</w:t>
      </w:r>
    </w:p>
    <w:p w:rsidR="00602520" w:rsidRDefault="00602520">
      <w:pPr>
        <w:pStyle w:val="11"/>
        <w:jc w:val="center"/>
      </w:pPr>
    </w:p>
    <w:p w:rsidR="00602520" w:rsidRDefault="00602520">
      <w:pPr>
        <w:pStyle w:val="11"/>
        <w:jc w:val="center"/>
      </w:pPr>
    </w:p>
    <w:p w:rsidR="00602520" w:rsidRDefault="00602520">
      <w:pPr>
        <w:pStyle w:val="11"/>
        <w:jc w:val="both"/>
      </w:pPr>
    </w:p>
    <w:p w:rsidR="00602520" w:rsidRDefault="00602520">
      <w:pPr>
        <w:pStyle w:val="11"/>
        <w:jc w:val="center"/>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center"/>
      </w:pPr>
    </w:p>
    <w:p w:rsidR="00602520" w:rsidRDefault="00602520">
      <w:pPr>
        <w:pStyle w:val="11"/>
        <w:jc w:val="both"/>
      </w:pPr>
    </w:p>
    <w:p w:rsidR="00602520" w:rsidRDefault="00602520">
      <w:pPr>
        <w:pStyle w:val="11"/>
        <w:jc w:val="both"/>
      </w:pPr>
    </w:p>
    <w:p w:rsidR="00602520" w:rsidRDefault="00602520">
      <w:pPr>
        <w:pStyle w:val="11"/>
        <w:jc w:val="center"/>
        <w:rPr>
          <w:b/>
          <w:sz w:val="32"/>
          <w:u w:val="single"/>
        </w:rPr>
      </w:pPr>
      <w:r>
        <w:rPr>
          <w:b/>
          <w:sz w:val="32"/>
          <w:u w:val="single"/>
        </w:rPr>
        <w:t>План</w:t>
      </w:r>
    </w:p>
    <w:p w:rsidR="00602520" w:rsidRDefault="00602520">
      <w:pPr>
        <w:pStyle w:val="11"/>
        <w:rPr>
          <w:sz w:val="32"/>
        </w:rPr>
      </w:pPr>
      <w:r>
        <w:rPr>
          <w:sz w:val="32"/>
        </w:rPr>
        <w:t xml:space="preserve">                            Введение.                             </w:t>
      </w:r>
    </w:p>
    <w:p w:rsidR="00602520" w:rsidRDefault="00602520">
      <w:pPr>
        <w:pStyle w:val="11"/>
        <w:rPr>
          <w:sz w:val="32"/>
        </w:rPr>
      </w:pPr>
      <w:r>
        <w:rPr>
          <w:sz w:val="32"/>
        </w:rPr>
        <w:t xml:space="preserve">                           1)Россия и Украина в середине 17 века.</w:t>
      </w:r>
    </w:p>
    <w:p w:rsidR="00602520" w:rsidRDefault="00602520">
      <w:pPr>
        <w:pStyle w:val="11"/>
        <w:jc w:val="center"/>
        <w:rPr>
          <w:sz w:val="32"/>
        </w:rPr>
      </w:pPr>
      <w:r>
        <w:rPr>
          <w:sz w:val="32"/>
        </w:rPr>
        <w:t xml:space="preserve">              а) Россия, политическая и экономическая обстановка,</w:t>
      </w:r>
    </w:p>
    <w:p w:rsidR="00602520" w:rsidRDefault="00602520">
      <w:pPr>
        <w:pStyle w:val="11"/>
        <w:jc w:val="center"/>
        <w:rPr>
          <w:sz w:val="32"/>
        </w:rPr>
      </w:pPr>
      <w:r>
        <w:rPr>
          <w:sz w:val="32"/>
        </w:rPr>
        <w:t>царь Алексей Михайлович Романов, Патриарх Никон.</w:t>
      </w:r>
    </w:p>
    <w:p w:rsidR="00602520" w:rsidRDefault="00602520">
      <w:pPr>
        <w:pStyle w:val="11"/>
        <w:rPr>
          <w:sz w:val="32"/>
        </w:rPr>
      </w:pPr>
      <w:r>
        <w:rPr>
          <w:sz w:val="32"/>
        </w:rPr>
        <w:t xml:space="preserve">                   б) Украина, политическое положение, </w:t>
      </w:r>
    </w:p>
    <w:p w:rsidR="00602520" w:rsidRDefault="00602520">
      <w:pPr>
        <w:pStyle w:val="11"/>
        <w:rPr>
          <w:sz w:val="32"/>
        </w:rPr>
      </w:pPr>
      <w:r>
        <w:rPr>
          <w:sz w:val="32"/>
        </w:rPr>
        <w:t xml:space="preserve">                                      Богдан Хмельницкий.</w:t>
      </w:r>
    </w:p>
    <w:p w:rsidR="00602520" w:rsidRDefault="00602520">
      <w:pPr>
        <w:pStyle w:val="11"/>
        <w:rPr>
          <w:sz w:val="32"/>
        </w:rPr>
      </w:pPr>
      <w:r>
        <w:rPr>
          <w:sz w:val="32"/>
        </w:rPr>
        <w:t xml:space="preserve">                            2)Присоединение Украины к России.</w:t>
      </w:r>
    </w:p>
    <w:p w:rsidR="00602520" w:rsidRDefault="00602520">
      <w:pPr>
        <w:pStyle w:val="11"/>
        <w:rPr>
          <w:sz w:val="32"/>
        </w:rPr>
      </w:pPr>
      <w:r>
        <w:rPr>
          <w:sz w:val="32"/>
        </w:rPr>
        <w:t xml:space="preserve">                                      а) Земский собор.</w:t>
      </w:r>
    </w:p>
    <w:p w:rsidR="00602520" w:rsidRDefault="00602520">
      <w:pPr>
        <w:pStyle w:val="11"/>
        <w:rPr>
          <w:sz w:val="32"/>
        </w:rPr>
      </w:pPr>
      <w:r>
        <w:rPr>
          <w:sz w:val="32"/>
        </w:rPr>
        <w:t xml:space="preserve">                                      б) Переяславская Рада.</w:t>
      </w:r>
    </w:p>
    <w:p w:rsidR="00602520" w:rsidRDefault="00602520">
      <w:pPr>
        <w:pStyle w:val="11"/>
        <w:rPr>
          <w:sz w:val="32"/>
        </w:rPr>
      </w:pPr>
      <w:r>
        <w:rPr>
          <w:sz w:val="32"/>
        </w:rPr>
        <w:t xml:space="preserve">                                      в)  Мартовские статьи</w:t>
      </w:r>
    </w:p>
    <w:p w:rsidR="00602520" w:rsidRDefault="00602520">
      <w:pPr>
        <w:pStyle w:val="11"/>
        <w:rPr>
          <w:sz w:val="32"/>
        </w:rPr>
      </w:pPr>
      <w:r>
        <w:rPr>
          <w:sz w:val="32"/>
        </w:rPr>
        <w:t xml:space="preserve">                             3)Последствия и значение присоединения.</w:t>
      </w:r>
    </w:p>
    <w:p w:rsidR="00602520" w:rsidRDefault="00602520">
      <w:pPr>
        <w:pStyle w:val="11"/>
        <w:rPr>
          <w:sz w:val="32"/>
        </w:rPr>
      </w:pPr>
      <w:r>
        <w:rPr>
          <w:sz w:val="32"/>
        </w:rPr>
        <w:t xml:space="preserve">                             Заключение.</w:t>
      </w:r>
    </w:p>
    <w:p w:rsidR="00602520" w:rsidRDefault="00602520">
      <w:pPr>
        <w:pStyle w:val="11"/>
      </w:pPr>
    </w:p>
    <w:p w:rsidR="00602520" w:rsidRDefault="00602520">
      <w:pPr>
        <w:pStyle w:val="11"/>
        <w:jc w:val="center"/>
      </w:pPr>
    </w:p>
    <w:p w:rsidR="00602520" w:rsidRDefault="00602520">
      <w:pPr>
        <w:pStyle w:val="11"/>
        <w:jc w:val="center"/>
        <w:rPr>
          <w:sz w:val="36"/>
        </w:rPr>
      </w:pPr>
      <w:r>
        <w:rPr>
          <w:sz w:val="32"/>
        </w:rPr>
        <w:t>Список используемой литературы</w:t>
      </w:r>
      <w:r>
        <w:rPr>
          <w:sz w:val="36"/>
        </w:rPr>
        <w:t>.</w:t>
      </w:r>
    </w:p>
    <w:p w:rsidR="00602520" w:rsidRDefault="00602520">
      <w:pPr>
        <w:pStyle w:val="11"/>
        <w:jc w:val="center"/>
      </w:pPr>
    </w:p>
    <w:p w:rsidR="00602520" w:rsidRDefault="00602520">
      <w:pPr>
        <w:pStyle w:val="11"/>
        <w:jc w:val="center"/>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both"/>
      </w:pPr>
    </w:p>
    <w:p w:rsidR="00602520" w:rsidRDefault="00602520">
      <w:pPr>
        <w:pStyle w:val="11"/>
        <w:jc w:val="center"/>
        <w:rPr>
          <w:b/>
        </w:rPr>
      </w:pPr>
      <w:r>
        <w:rPr>
          <w:b/>
        </w:rPr>
        <w:t>Введение.</w:t>
      </w:r>
    </w:p>
    <w:p w:rsidR="00602520" w:rsidRDefault="00602520">
      <w:pPr>
        <w:pStyle w:val="11"/>
        <w:jc w:val="both"/>
      </w:pPr>
      <w:r>
        <w:t xml:space="preserve">    В данной работе рассмотрен исторический факт присоединения Украины (Малороссии) к России, а также его влияние на ход мировой (Европейской) истории того периода.</w:t>
      </w:r>
    </w:p>
    <w:p w:rsidR="00602520" w:rsidRDefault="00602520">
      <w:pPr>
        <w:pStyle w:val="11"/>
        <w:jc w:val="center"/>
        <w:rPr>
          <w:b/>
        </w:rPr>
      </w:pPr>
      <w:r>
        <w:rPr>
          <w:b/>
        </w:rPr>
        <w:t>Россия и Украина в середине 17-го века.</w:t>
      </w:r>
    </w:p>
    <w:p w:rsidR="00602520" w:rsidRDefault="00602520">
      <w:pPr>
        <w:pStyle w:val="11"/>
        <w:jc w:val="center"/>
        <w:rPr>
          <w:b/>
        </w:rPr>
      </w:pPr>
      <w:r>
        <w:rPr>
          <w:b/>
        </w:rPr>
        <w:t>РОССИЯ:</w:t>
      </w:r>
    </w:p>
    <w:p w:rsidR="00602520" w:rsidRDefault="00602520">
      <w:pPr>
        <w:pStyle w:val="11"/>
      </w:pPr>
      <w:r>
        <w:t xml:space="preserve">.   Наиболее яркой личностью того времени в России можно назвать царя Алексея Михайловича Романова 19.03 1629г.-30.01.1676г. (царь с 13.07.1645г. по 30.01.1676г.) Алексей Михайлович был одним из образованнейших людей своего времени. Он сам писал и редактировал многие указы и первым из русских царей стал их подписывать. В 1649 году по его указанию был составлен свод законов-Соборное Уложение. Кроткий и религиозный, он был чрезвычайно любим народом, который дал ему прозвание «Тишайшего». В царствование Алексея Михайловича Московское государство расширило свои пределы не только на юго-запад (получив левобережную Украину и Белорусские земли), но и далеко на восток и на юг. В западной Сибири казаки победили потомков хана Кучума. Русскими землепроходцами была открыта восточная Сибирь. </w:t>
      </w:r>
    </w:p>
    <w:p w:rsidR="00602520" w:rsidRDefault="00602520">
      <w:pPr>
        <w:pStyle w:val="11"/>
      </w:pPr>
      <w:r>
        <w:t xml:space="preserve">     Вторым по значимости можно поставить советника Алексея Михайловича патриарха Никона. Царь оказывал Никону большое доверие и даже поручал управление государством на время его отсутствия в столице. Церковные реформы проведенные Никоном, явились причиной возникновения в стране различных религиозных течений, последователи которых не признавали официальную церковь. Как следствие в России возникали народные волнения так называемые «</w:t>
      </w:r>
      <w:r>
        <w:rPr>
          <w:b/>
        </w:rPr>
        <w:t>раскольнические</w:t>
      </w:r>
      <w:r>
        <w:t>». Растущее влияние Никона на внутреннюю и внешнюю политику государства под тезисом «священство выше царства» вызвало разрыв патриарха с царем.</w:t>
      </w:r>
    </w:p>
    <w:p w:rsidR="00602520" w:rsidRDefault="00602520">
      <w:pPr>
        <w:pStyle w:val="11"/>
      </w:pPr>
      <w:r>
        <w:t xml:space="preserve"> К середине 17  века Россия, восстановив экономику, могла сосредоточить внимание на решении задач внешней политики. На северо-западе первоочередной задачей было возвращение выхода к Балтийскому морю. Здесь противником России выступала Швеция, ставшая к тому времени одной из сильнейших держав Европы. На западе стояла задача возвратить потерянные во время польско-литовской интервенции Смоленские, Черниговские и Новгородские земли. Решение этой задачи обострилось в связи с борьбой украинского и белорусского народов с Речью Посполитой. На юге России постоянно приходилось отражать набеги крымского хана, наносившего огромный ущерб южным плодородным землям России.</w:t>
      </w:r>
    </w:p>
    <w:p w:rsidR="00602520" w:rsidRDefault="00602520">
      <w:pPr>
        <w:pStyle w:val="11"/>
        <w:jc w:val="center"/>
        <w:rPr>
          <w:b/>
        </w:rPr>
      </w:pPr>
      <w:r>
        <w:rPr>
          <w:b/>
        </w:rPr>
        <w:t>УКРАИНА:</w:t>
      </w:r>
    </w:p>
    <w:p w:rsidR="00602520" w:rsidRDefault="00602520">
      <w:pPr>
        <w:pStyle w:val="11"/>
        <w:jc w:val="both"/>
      </w:pPr>
      <w:r>
        <w:t xml:space="preserve"> На Украине это время связано с правлением там  Речи Посполитой. По Люблинской унии 1569г., объединившей Польшу и Литву в единое государство-Речь Посполитую, в нее также были включены Белоруссия и большая часть Украины. Положение Украинского народа резко ухудшилось. Население Украины испытывало тройной гнет: крепостнический, национальный и религиозный.</w:t>
      </w:r>
    </w:p>
    <w:p w:rsidR="00602520" w:rsidRDefault="00602520">
      <w:pPr>
        <w:pStyle w:val="11"/>
        <w:jc w:val="both"/>
      </w:pPr>
      <w:r>
        <w:t>Множество крестьян бежало на юг, к днепровским порогам, где на острове Хортица возникла казацкая Запорожская Сечь. Здесь сложилась своеобразная казацкая республика,  свободное военное братство во главе с выборным гетманом. Речь Поспалитая использовала казаков для защиты южных границ от набегов татар, и по этому не могла уничтожить Запорожскую Сечь. Желая привлечь казачество на свою сторону, польское правительство стало составлять особые списки-реестры. Казак, записанный в реестр, назывался  реестровым и считался на службе у польского короля и получал жалование. Однако, несмотря на старания польских королей привлечь казачество на свою сторону именно оно начало вооруженную борьбу украинского народа за освобождение от власти Речи Посполитой. Востание казаков против польской шляхты происходили неоднократно начиная с конца 15 века. Новый подъем освободительного движения  наступил в конце 40-х годов 17 века. Его возглавил великий сын украинского народа, мужественный воин и талантливый дипломат  Богдан Хмельницкий. Он происходил из рядов мелкой украинской шляхты (средних феодалов), был образован, знал латынь, владел польским и турецким языками. В 1648 г. он был избран гетманом Запорожской Сечи и получил традиционные знаки власти: булаву, бунчук и войсковую печать. Войско Хмельницкого одержало много побед дошло до Львова и Замостья, а 1648 году его войска торжественно вступили в Киев. В1649 году под Зборовом войско Хмельницкого встретилось с польской армией и разбило ее. От полного разгрома Польшу спасла лишь измена крымского хана. Польское правительство вынуждено было заключить Збороаский мир  на выгодных для Украины условиях, но в 1650 году военные действия возобновились. Летом 1651 года силы польских магнатов в очередной раз встретились с войском Хмельницкого под Берестечком. Полякам в очередной раз удалось подкупить крымского хана, и тот вывел свои войска из битвы, задержав у себя Хмельницкого. Поражение под Берестечком и разгром отдельных восстаний вынудило Хмельницкого заключить под Белой Церковью мир на тяжелых для Украины условиях. Народ Украины  снова попал под крепостное ярмо. Но массовые народные выступления начались с новой силой. В 1652 году Хмельницкий наголову разбил польскую армию под Батогом.</w:t>
      </w:r>
    </w:p>
    <w:p w:rsidR="00602520" w:rsidRDefault="00602520">
      <w:pPr>
        <w:pStyle w:val="11"/>
        <w:jc w:val="both"/>
      </w:pPr>
    </w:p>
    <w:p w:rsidR="00602520" w:rsidRDefault="00602520">
      <w:pPr>
        <w:pStyle w:val="11"/>
        <w:jc w:val="center"/>
        <w:rPr>
          <w:b/>
        </w:rPr>
      </w:pPr>
      <w:r>
        <w:rPr>
          <w:b/>
        </w:rPr>
        <w:t>Присоединение Украины и России.</w:t>
      </w:r>
    </w:p>
    <w:p w:rsidR="00602520" w:rsidRDefault="00602520">
      <w:pPr>
        <w:pStyle w:val="a4"/>
        <w:ind w:left="0"/>
      </w:pPr>
      <w:r>
        <w:rPr>
          <w:rFonts w:ascii="Arial" w:hAnsi="Arial"/>
          <w:sz w:val="20"/>
        </w:rPr>
        <w:t>.</w:t>
      </w:r>
      <w:r>
        <w:rPr>
          <w:rFonts w:ascii="Arial" w:hAnsi="Arial"/>
        </w:rPr>
        <w:t xml:space="preserve"> Войска Богдана Хмельницкого добились целого ряда крупный побед в борьбе со шляхтой. Однако требовалась помощь России для полного освобождения Украины от Речи Поспалитой. Хмельницкий уже несколько раз посылал послов «бить челом», чтобы царь Алексей  Михайлович принял Малороссию под свою  руку, но русское правительство, занятое подавлением городских восстаний 1648-1650гг., медлило с решением, однако к борьбе Хмельницкого против Польши относилось сочувственно и оказывало дипломатическую поддержку. Наконец 1 октября 1651 года на Земском  соборе в Москве было заявлено о готовности принять Украину в русское подданство. Но принять Малороссию значило начать войну с Польшей, с которой у Москвы был вечный мир, хотя и продолжались неудовольствия по причине «умаления царского титула» польскими чиновниками и о притеснении православной веры. Летом 1653 года московские послы явились в Польшу и потребовали казнить виновных в умалении царского титула, прекратить теснить православную веру, уничтожить унию и принять Хмельницкого в подданство по Зборовскому договору. Поляки не согласились и двинули войска на Хмельницкого. Тогда государь послал сказать гетману, что принимает его под свою власть, и 1 октября 1653 года созвал Земский собор, которому объявил о неправдах польского короля против Москвы и против Малороссии, объявил, что турецкий султан завет казаков к себе в подданство, но гетман лучше хочет быть под властью православного государя. Собор приговорил, что надо принять казаков, чтобы не отпустить их в подданство к турецкому султану, что надо объявить войну Польше за притеснения православной веры и за оскорбление царской чести. Русское правительство направило к Хмельницкому посольство во главе с В.В.Бутурлиным.8 января 1654 года в Переславле собралась большая рада (Переяславская) с участием казачества  и населением сел и городов. Там Богдан Хмельницкий сказал речь, в которой склонял казаков отдаться под покровительство Москвы. </w:t>
      </w:r>
      <w:r>
        <w:rPr>
          <w:rFonts w:ascii="Arial" w:hAnsi="Arial"/>
          <w:i/>
        </w:rPr>
        <w:t>"</w:t>
      </w:r>
      <w:r>
        <w:rPr>
          <w:rFonts w:ascii="Arial" w:hAnsi="Arial"/>
        </w:rPr>
        <w:t>Болим под царя восточного, православного"</w:t>
      </w:r>
      <w:r>
        <w:rPr>
          <w:rFonts w:ascii="Arial" w:hAnsi="Arial"/>
          <w:i/>
        </w:rPr>
        <w:t xml:space="preserve"> -</w:t>
      </w:r>
      <w:r>
        <w:rPr>
          <w:rFonts w:ascii="Arial" w:hAnsi="Arial"/>
        </w:rPr>
        <w:t xml:space="preserve"> кричали казаки. Переяславский полковник стал обходить площадь кругом и спрашивать: "Чи вcu так соизволяете?"</w:t>
      </w:r>
      <w:r>
        <w:rPr>
          <w:rFonts w:ascii="Arial" w:hAnsi="Arial"/>
          <w:i/>
        </w:rPr>
        <w:t xml:space="preserve"> </w:t>
      </w:r>
      <w:r>
        <w:rPr>
          <w:rFonts w:ascii="Arial" w:hAnsi="Arial"/>
        </w:rPr>
        <w:t>"Вси!"</w:t>
      </w:r>
      <w:r>
        <w:rPr>
          <w:rFonts w:ascii="Arial" w:hAnsi="Arial"/>
          <w:i/>
        </w:rPr>
        <w:t xml:space="preserve"> -</w:t>
      </w:r>
      <w:r>
        <w:rPr>
          <w:rFonts w:ascii="Arial" w:hAnsi="Arial"/>
        </w:rPr>
        <w:t xml:space="preserve"> кричал отовсюду народ. После этого произошла присяга.</w:t>
      </w:r>
    </w:p>
    <w:p w:rsidR="00602520" w:rsidRDefault="00602520">
      <w:pPr>
        <w:pStyle w:val="11"/>
      </w:pPr>
      <w:r>
        <w:rPr>
          <w:rFonts w:ascii="Arial" w:hAnsi="Arial"/>
        </w:rPr>
        <w:t>Казакам было оставлено право избирать гетмана и старшин, иметь свой суд и т.д. - Алексей Михайлович приказал титуловать себя Государем всея Великия и Малыя России</w:t>
      </w:r>
      <w:r>
        <w:rPr>
          <w:rFonts w:ascii="Arial" w:hAnsi="Arial"/>
          <w:i/>
        </w:rPr>
        <w:t>.</w:t>
      </w:r>
      <w:r>
        <w:rPr>
          <w:rFonts w:ascii="Arial" w:hAnsi="Arial"/>
        </w:rPr>
        <w:t xml:space="preserve"> </w:t>
      </w:r>
    </w:p>
    <w:p w:rsidR="00602520" w:rsidRDefault="00602520">
      <w:pPr>
        <w:pStyle w:val="1"/>
        <w:rPr>
          <w:rFonts w:ascii="Times New Roman" w:hAnsi="Times New Roman"/>
        </w:rPr>
      </w:pPr>
      <w:r>
        <w:rPr>
          <w:rFonts w:ascii="Times New Roman" w:hAnsi="Times New Roman"/>
        </w:rPr>
        <w:t>Мартовские статьи</w:t>
      </w:r>
    </w:p>
    <w:p w:rsidR="00602520" w:rsidRDefault="00602520">
      <w:r>
        <w:t xml:space="preserve">     26 марта 1654 г. царь. Алексей, Михайлович и Боярская дума утвер</w:t>
      </w:r>
      <w:r>
        <w:softHyphen/>
        <w:t>дили  «Статьи Богдана Хмельницкого»   (так  называемые  «Мартовские статья»), которые определили положение  Украины  в союзе  с Россией:      —  гетмана избирает войско и только  извещает   царское  прави</w:t>
      </w:r>
      <w:r>
        <w:softHyphen/>
        <w:t>тельство;      —  гетман и войско могут сноситься с прочими государствами, но с Полыней  и Турцией под  контролем царских властей;      —  реестр определялся а 60 тысяч; —   о сохранении прав сословий, светских и духовных;      —   о сохранении в городах выборного управления и т. д.</w:t>
      </w:r>
      <w:r>
        <w:rPr>
          <w:lang w:val="en-US"/>
        </w:rPr>
        <w:t>.</w:t>
      </w:r>
      <w:r>
        <w:t xml:space="preserve"> Богдан Хмельницкий  фактически сохранил  положение независимого главы государства.</w:t>
      </w:r>
    </w:p>
    <w:p w:rsidR="00602520" w:rsidRDefault="00602520">
      <w:pPr>
        <w:pStyle w:val="11"/>
        <w:rPr>
          <w:rFonts w:ascii="Arial" w:hAnsi="Arial"/>
        </w:rPr>
      </w:pPr>
    </w:p>
    <w:p w:rsidR="00602520" w:rsidRDefault="00602520">
      <w:pPr>
        <w:pStyle w:val="11"/>
        <w:jc w:val="center"/>
        <w:rPr>
          <w:rFonts w:ascii="Arial" w:hAnsi="Arial"/>
          <w:b/>
        </w:rPr>
      </w:pPr>
      <w:r>
        <w:rPr>
          <w:rFonts w:ascii="Arial" w:hAnsi="Arial"/>
          <w:b/>
        </w:rPr>
        <w:t>Последствия и значение присоединения Украины к России.</w:t>
      </w:r>
    </w:p>
    <w:p w:rsidR="00602520" w:rsidRDefault="00602520">
      <w:pPr>
        <w:pStyle w:val="11"/>
        <w:rPr>
          <w:rFonts w:ascii="Arial" w:hAnsi="Arial"/>
        </w:rPr>
      </w:pPr>
    </w:p>
    <w:p w:rsidR="00602520" w:rsidRDefault="00602520">
      <w:pPr>
        <w:pStyle w:val="11"/>
        <w:rPr>
          <w:rFonts w:ascii="Arial" w:hAnsi="Arial"/>
        </w:rPr>
      </w:pPr>
      <w:r>
        <w:rPr>
          <w:rFonts w:ascii="Arial" w:hAnsi="Arial"/>
        </w:rPr>
        <w:t xml:space="preserve">Присоединение Украины с Россией имело огромное историческое значение. Оно освободило народ Украины от национального и религиозного гнета, спасло его от опасности порабощения Польшей и Турцией. Оно способствовало формированию украинской нации. Воссоединение Левобережной Украины с Россией явилось важным фактором укрепления российской государственности. Благодаря присоединению к Украине России удалось вернуть Смоленские и Черниговские земли, что дало возможность начать борьбу за Балтийское побережье. Кроме того, открылась благоприятная перспектива расширения связей России с другими славянскими народами и государствами Запада. </w:t>
      </w:r>
    </w:p>
    <w:p w:rsidR="00602520" w:rsidRDefault="00602520">
      <w:pPr>
        <w:pStyle w:val="11"/>
        <w:rPr>
          <w:rFonts w:ascii="Arial" w:hAnsi="Arial"/>
        </w:rPr>
      </w:pPr>
    </w:p>
    <w:p w:rsidR="00602520" w:rsidRDefault="00602520">
      <w:pPr>
        <w:pStyle w:val="11"/>
        <w:jc w:val="center"/>
        <w:rPr>
          <w:rFonts w:ascii="Arial" w:hAnsi="Arial"/>
          <w:b/>
        </w:rPr>
      </w:pPr>
      <w:r>
        <w:rPr>
          <w:rFonts w:ascii="Arial" w:hAnsi="Arial"/>
          <w:b/>
        </w:rPr>
        <w:t>Заключение.</w:t>
      </w:r>
    </w:p>
    <w:p w:rsidR="00602520" w:rsidRDefault="00602520">
      <w:pPr>
        <w:pStyle w:val="11"/>
        <w:rPr>
          <w:rFonts w:ascii="Arial" w:hAnsi="Arial"/>
        </w:rPr>
      </w:pPr>
    </w:p>
    <w:p w:rsidR="00602520" w:rsidRDefault="00602520">
      <w:pPr>
        <w:pStyle w:val="11"/>
        <w:rPr>
          <w:rFonts w:ascii="Arial" w:hAnsi="Arial"/>
        </w:rPr>
      </w:pPr>
      <w:r>
        <w:t>Как видно из работы событие такого масштаба не проходит бесследно, и оно будут иметь разные последствия для всех  его участников вплоть до наших дней.</w:t>
      </w: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rPr>
          <w:rFonts w:ascii="Arial" w:hAnsi="Arial"/>
        </w:rPr>
      </w:pPr>
    </w:p>
    <w:p w:rsidR="00602520" w:rsidRDefault="00602520">
      <w:pPr>
        <w:pStyle w:val="11"/>
        <w:jc w:val="center"/>
        <w:rPr>
          <w:rFonts w:ascii="Arial" w:hAnsi="Arial"/>
        </w:rPr>
      </w:pPr>
    </w:p>
    <w:p w:rsidR="00602520" w:rsidRDefault="00602520">
      <w:pPr>
        <w:pStyle w:val="11"/>
        <w:jc w:val="center"/>
        <w:rPr>
          <w:rFonts w:ascii="Arial" w:hAnsi="Arial"/>
        </w:rPr>
      </w:pPr>
    </w:p>
    <w:p w:rsidR="00602520" w:rsidRDefault="00602520">
      <w:pPr>
        <w:pStyle w:val="11"/>
        <w:jc w:val="center"/>
        <w:rPr>
          <w:rFonts w:ascii="Arial" w:hAnsi="Arial"/>
        </w:rPr>
      </w:pPr>
    </w:p>
    <w:p w:rsidR="00602520" w:rsidRDefault="00602520">
      <w:pPr>
        <w:pStyle w:val="11"/>
        <w:jc w:val="center"/>
        <w:rPr>
          <w:rFonts w:ascii="Arial" w:hAnsi="Arial"/>
        </w:rPr>
      </w:pPr>
    </w:p>
    <w:p w:rsidR="00602520" w:rsidRDefault="00602520">
      <w:pPr>
        <w:pStyle w:val="11"/>
        <w:jc w:val="center"/>
        <w:rPr>
          <w:rFonts w:ascii="Arial" w:hAnsi="Arial"/>
        </w:rPr>
      </w:pPr>
    </w:p>
    <w:p w:rsidR="00602520" w:rsidRDefault="00602520">
      <w:pPr>
        <w:pStyle w:val="11"/>
        <w:jc w:val="center"/>
        <w:rPr>
          <w:rFonts w:ascii="Arial" w:hAnsi="Arial"/>
          <w:b/>
        </w:rPr>
      </w:pPr>
      <w:r>
        <w:rPr>
          <w:rFonts w:ascii="Arial" w:hAnsi="Arial"/>
          <w:b/>
        </w:rPr>
        <w:t>Список используемой литературы.</w:t>
      </w:r>
    </w:p>
    <w:p w:rsidR="00602520" w:rsidRDefault="00602520">
      <w:pPr>
        <w:pStyle w:val="11"/>
        <w:jc w:val="center"/>
        <w:rPr>
          <w:rFonts w:ascii="Arial" w:hAnsi="Arial"/>
        </w:rPr>
      </w:pPr>
      <w:r>
        <w:rPr>
          <w:rFonts w:ascii="Arial" w:hAnsi="Arial"/>
        </w:rPr>
        <w:t>1) «Учебная книга по русской истории» Сергей Михайлович Соловьев</w:t>
      </w:r>
    </w:p>
    <w:p w:rsidR="00602520" w:rsidRDefault="00602520">
      <w:pPr>
        <w:pStyle w:val="11"/>
        <w:jc w:val="center"/>
        <w:rPr>
          <w:rFonts w:ascii="Arial" w:hAnsi="Arial"/>
        </w:rPr>
      </w:pPr>
      <w:r>
        <w:rPr>
          <w:rFonts w:ascii="Arial" w:hAnsi="Arial"/>
        </w:rPr>
        <w:t>2) «Основы курса истории» Орлова А.С., Георгиев В.А.,Полунов А.Ю., Терещенко Ю.А. .</w:t>
      </w:r>
    </w:p>
    <w:p w:rsidR="00602520" w:rsidRDefault="00602520">
      <w:pPr>
        <w:pStyle w:val="11"/>
        <w:jc w:val="center"/>
        <w:rPr>
          <w:rFonts w:ascii="Arial" w:hAnsi="Arial"/>
        </w:rPr>
      </w:pPr>
      <w:r>
        <w:rPr>
          <w:rFonts w:ascii="Arial" w:hAnsi="Arial"/>
        </w:rPr>
        <w:t>3) «Краткая история СССР» ч.1 Носов Н.Е.,Лихачев Д.С., Цамутали А.Н.</w:t>
      </w:r>
    </w:p>
    <w:p w:rsidR="00602520" w:rsidRDefault="00602520">
      <w:pPr>
        <w:pStyle w:val="11"/>
        <w:jc w:val="center"/>
        <w:rPr>
          <w:rFonts w:ascii="Arial" w:hAnsi="Arial"/>
        </w:rPr>
      </w:pPr>
      <w:r>
        <w:rPr>
          <w:rFonts w:ascii="Arial" w:hAnsi="Arial"/>
        </w:rPr>
        <w:t>4) «Россия-многонациональное государство»  Мещеряков.</w:t>
      </w:r>
    </w:p>
    <w:p w:rsidR="00602520" w:rsidRDefault="00602520">
      <w:pPr>
        <w:pStyle w:val="11"/>
        <w:jc w:val="center"/>
        <w:rPr>
          <w:rFonts w:ascii="Arial" w:hAnsi="Arial"/>
        </w:rPr>
      </w:pPr>
      <w:r>
        <w:rPr>
          <w:rFonts w:ascii="Arial" w:hAnsi="Arial"/>
        </w:rPr>
        <w:t>5) «Полный курс лекций по русской истории»  Сергей Федорович Платонов.</w:t>
      </w:r>
      <w:bookmarkStart w:id="0" w:name="_GoBack"/>
      <w:bookmarkEnd w:id="0"/>
    </w:p>
    <w:sectPr w:rsidR="00602520">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51F64"/>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313"/>
    <w:rsid w:val="00602520"/>
    <w:rsid w:val="00644F1F"/>
    <w:rsid w:val="00837653"/>
    <w:rsid w:val="009F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F1A5B-F0F6-4BD9-A537-70970649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rFonts w:ascii="Arial" w:hAnsi="Arial"/>
      <w:sz w:val="24"/>
    </w:rPr>
  </w:style>
  <w:style w:type="paragraph" w:styleId="1">
    <w:name w:val="heading 1"/>
    <w:basedOn w:val="a"/>
    <w:next w:val="a"/>
    <w:qFormat/>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widowControl w:val="0"/>
      <w:spacing w:before="240" w:after="120"/>
      <w:ind w:firstLine="0"/>
      <w:jc w:val="center"/>
    </w:pPr>
    <w:rPr>
      <w:b/>
      <w:kern w:val="28"/>
      <w:sz w:val="28"/>
    </w:rPr>
  </w:style>
  <w:style w:type="paragraph" w:customStyle="1" w:styleId="2">
    <w:name w:val="заголовок 2"/>
    <w:basedOn w:val="a"/>
    <w:pPr>
      <w:spacing w:before="180" w:after="120"/>
      <w:ind w:firstLine="0"/>
      <w:jc w:val="center"/>
    </w:pPr>
    <w:rPr>
      <w:b/>
      <w:sz w:val="26"/>
    </w:rPr>
  </w:style>
  <w:style w:type="paragraph" w:customStyle="1" w:styleId="11">
    <w:name w:val="Обычный1"/>
    <w:pPr>
      <w:spacing w:before="100" w:after="100"/>
    </w:pPr>
    <w:rPr>
      <w:snapToGrid w:val="0"/>
      <w:sz w:val="24"/>
    </w:rPr>
  </w:style>
  <w:style w:type="character" w:styleId="a3">
    <w:name w:val="Hyperlink"/>
    <w:semiHidden/>
    <w:rPr>
      <w:color w:val="0000FF"/>
      <w:u w:val="single"/>
    </w:rPr>
  </w:style>
  <w:style w:type="paragraph" w:customStyle="1" w:styleId="a4">
    <w:name w:val="Цитаты"/>
    <w:basedOn w:val="11"/>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1524</Words>
  <Characters>8687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Гетман Хмельницкий предупредил Калиновского письмом, просил не трогать Тимофея и отступить с дороги, так как Тимофей идет себе жениться и не имеет никаких враждебных намерений против поляков, иначе не ручался, чтоб казаки, которых он называл свадебными б</vt:lpstr>
    </vt:vector>
  </TitlesOfParts>
  <Company>fbk</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Гетман Хмельницкий предупредил Калиновского письмом, просил не трогать Тимофея и отступить с дороги, так как Тимофей идет себе жениться и не имеет никаких враждебных намерений против поляков, иначе не ручался, чтоб казаки, которых он называл свадебными б</dc:title>
  <dc:subject/>
  <dc:creator>dell 31</dc:creator>
  <cp:keywords/>
  <cp:lastModifiedBy>admin</cp:lastModifiedBy>
  <cp:revision>2</cp:revision>
  <cp:lastPrinted>2001-11-09T16:04:00Z</cp:lastPrinted>
  <dcterms:created xsi:type="dcterms:W3CDTF">2014-02-08T08:06:00Z</dcterms:created>
  <dcterms:modified xsi:type="dcterms:W3CDTF">2014-02-08T08:06:00Z</dcterms:modified>
</cp:coreProperties>
</file>