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17" w:rsidRDefault="00D94317" w:rsidP="00CC6D5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606F44" w:rsidRDefault="00606F44" w:rsidP="00CC6D5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CC6D5F">
        <w:rPr>
          <w:rFonts w:ascii="Times New Roman" w:hAnsi="Times New Roman"/>
          <w:b/>
          <w:sz w:val="28"/>
          <w:szCs w:val="28"/>
        </w:rPr>
        <w:t>Устройство и назначение коробки передач автомобиля ГАЗ-53А.</w:t>
      </w:r>
    </w:p>
    <w:p w:rsidR="00606F44" w:rsidRDefault="00606F44" w:rsidP="00CC6D5F">
      <w:pPr>
        <w:spacing w:after="240"/>
        <w:rPr>
          <w:rFonts w:ascii="Times New Roman" w:hAnsi="Times New Roman"/>
          <w:b/>
          <w:sz w:val="28"/>
          <w:szCs w:val="28"/>
        </w:rPr>
      </w:pP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Коробка передач (КП) служит для изменения силы тяги и скорости движения автомобиля в зависимости от условий работы. С помощью КП можно изменить направление движения на задний ход и отключить работающий двигатель от трансмиссии при остановке. Действие коробки передач основано на том, что вращение от коленчатого вала двигателя передается на ходовую часть через зубчатые шестерни с определенным передаточным числом на каждой передаче.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Пятиступенчатая коробка передач ГАЗ–53А имеет трехвальную схему. Картер коробки передач изготовлен из чугунного сплава и состоит из двух частей — передней и задней. Для обеспечения соосности опор валов и отверстий под штоки механизмов переключения картеры центрируются установочными втулками, запрессованными в передний картер. Передний и задний картеры соединены между собой десятью болтами. Для герметичности между картерами установлена паронитовая прокладка. Шестерня первичного вала, а также шестерни 1-й, 2-й, 3-й. заднего хода находятся в постоянном зацеплении с блоком шестерен. Эти шестерни косозубые и вращаются на игольчатых подшипниках с пластмассовыми сепараторами. Промежуточная шестерня заднего хода вращается на насыпных роликах. Передачи переднего и заднего хода снабжены инерционными синхронизаторами.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Осевые перемещения деталей вторичного вала ограничены стопорными кольцами и буртиком вторичного вала.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Блок шестерен вращается на шариковых подшипниках, установленных в посадочных местах передней и задней части картеров. Осевой зазор блока шестерен регулируют при сборке подбором толщины пакета регулировочных колец, устанавливаемых в посадочное место переднего картера.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Блокировочное устройство механизма переключения передач состоит из двух стопорных плунжеров и стопорного пальца. От случайного включения передачи заднего хода предусмотрена блокировочная втулка с пружиной. Штоки переключения передач фиксируются шариками нагруженными пружинами.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C6D5F">
        <w:rPr>
          <w:rFonts w:ascii="Times New Roman" w:hAnsi="Times New Roman"/>
          <w:sz w:val="28"/>
          <w:szCs w:val="28"/>
        </w:rPr>
        <w:t>Рычаг переключения передач снабжен демпфирующим устройством, устраняющим его вибрацию при большой частоте вращения коленвала.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Герметичность коробки передач обеспечивается тремя сальниками. Маслосливная пробка снабжена магнитом для улавливания металлических продуктов износа коробки передач.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При включенной четвертой передаче, крутящий момент передается в следующей последовательности: коленчатый вал, первичный вал, блок шестерен.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C6D5F">
        <w:rPr>
          <w:rFonts w:ascii="Times New Roman" w:hAnsi="Times New Roman"/>
          <w:sz w:val="28"/>
          <w:szCs w:val="28"/>
        </w:rPr>
        <w:t>Четырехступенчатая коробка передач грузового автомобиля имеет чугунный литой картер 18 (рис.96), который шпильками прикреплен к картеру сцепления. Сверху картер закрыт крышкой 26, в ней размещен механизм управления коробкой передач. С левой стороны картера на высоте, соответствующей нормальному уровню масла, выполнено маслоналивное отверстие. Для слива масла служит отверстие в нижней части картера.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C6D5F">
        <w:rPr>
          <w:rFonts w:ascii="Times New Roman" w:hAnsi="Times New Roman"/>
          <w:sz w:val="28"/>
          <w:szCs w:val="28"/>
        </w:rPr>
        <w:t>В картере на подшипниках установлены первичный 23, вторичный./О и промежуточный 20 валы. Осевые усилия, действующие на валы, воспринимаются шариковыми подшипниками 22, 9 и //, наружные обоймы которых закреплены в картере. Первичный вал выполнен как одно целое с шестерней 24, зубчатым венцом и конусом. На вторичном валу установлены: на шлицах подвижная шестерня-каретка 6 первой передачи, на бронзовых втулках шестерня 4 третьей и шестерня 5 второй передач и на шлицах ступица синхронизатора 21. Промежуточный вал представляет собой блок четырех шестерен. Шестерня 19 находится в постоянном зацеплении с шестерней первичного вала, а шестерни третьей 17 и второй 16 передач — с шестернями 4 и 5 вторичного вала. На оси 13 установлен блок Шестерен 14 и 15 заднего хода. Шестерни коробки передач, за исключением шестерен 6,12,14, 15, имеют косые зубья и находятся в постоянном зацеплении.</w:t>
      </w:r>
    </w:p>
    <w:p w:rsidR="00606F44" w:rsidRDefault="00E37F31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 0" o:spid="_x0000_s1026" type="#_x0000_t75" style="position:absolute;margin-left:-.4pt;margin-top:.2pt;width:529.8pt;height:480.5pt;z-index:-251659264;visibility:visible" wrapcoords="-31 0 -31 21566 21600 21566 21600 0 -31 0">
            <v:imagedata r:id="rId4" o:title=""/>
            <w10:wrap type="through"/>
          </v:shape>
        </w:pict>
      </w:r>
      <w:r w:rsidR="00606F44">
        <w:rPr>
          <w:rFonts w:ascii="Times New Roman" w:hAnsi="Times New Roman"/>
          <w:sz w:val="28"/>
          <w:szCs w:val="28"/>
        </w:rPr>
        <w:t xml:space="preserve">                     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C6D5F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C6D5F">
        <w:rPr>
          <w:rFonts w:ascii="Times New Roman" w:hAnsi="Times New Roman"/>
          <w:sz w:val="28"/>
          <w:szCs w:val="28"/>
        </w:rPr>
        <w:t>ередача включается перемещением шестерни-каретки 6 вправо и введением ее в зацепление с шестерней 12. Для включения второй передачи шестерню-карет</w:t>
      </w:r>
      <w:r>
        <w:rPr>
          <w:rFonts w:ascii="Times New Roman" w:hAnsi="Times New Roman"/>
          <w:sz w:val="28"/>
          <w:szCs w:val="28"/>
        </w:rPr>
        <w:t>ку перемещают влево, вводя внут</w:t>
      </w:r>
      <w:r w:rsidRPr="00CC6D5F">
        <w:rPr>
          <w:rFonts w:ascii="Times New Roman" w:hAnsi="Times New Roman"/>
          <w:sz w:val="28"/>
          <w:szCs w:val="28"/>
        </w:rPr>
        <w:t>ренний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D5F">
        <w:rPr>
          <w:rFonts w:ascii="Times New Roman" w:hAnsi="Times New Roman"/>
          <w:sz w:val="28"/>
          <w:szCs w:val="28"/>
        </w:rPr>
        <w:t>Рис. 96. зубчатый венец в зацепление с на</w:t>
      </w:r>
      <w:r>
        <w:rPr>
          <w:rFonts w:ascii="Times New Roman" w:hAnsi="Times New Roman"/>
          <w:sz w:val="28"/>
          <w:szCs w:val="28"/>
        </w:rPr>
        <w:t>ружным зубчатым венцом шестерни</w:t>
      </w:r>
      <w:r w:rsidRPr="00CC6D5F">
        <w:rPr>
          <w:rFonts w:ascii="Times New Roman" w:hAnsi="Times New Roman"/>
          <w:sz w:val="28"/>
          <w:szCs w:val="28"/>
        </w:rPr>
        <w:t>. На третьей передаче синхронизатор 21 соединяет шестерню 4 со вторичным валом, а на четвертой передаче — вторичный вал с первичным. Задний ход включается перемещением блока шестерен заднего хода влево. При этом шестерня 14 входит в зацепление с шестерней 12 промежуточного вала, а шестерня 15 с шестерней-кареткой 6.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C6D5F">
        <w:rPr>
          <w:rFonts w:ascii="Times New Roman" w:hAnsi="Times New Roman"/>
          <w:sz w:val="28"/>
          <w:szCs w:val="28"/>
        </w:rPr>
        <w:t>Синхронизатор выравнивает угловые скорости соединяемых зубьев до их введения в зацепление, что исключает возникновение удара между зубьями при включении.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C6D5F">
        <w:rPr>
          <w:rFonts w:ascii="Times New Roman" w:hAnsi="Times New Roman"/>
          <w:sz w:val="28"/>
          <w:szCs w:val="28"/>
        </w:rPr>
        <w:t>Муфта 2 (рис. 97) синхронизатора может перемещаться по зубчатой ступице 8, закрепленной на вторичном валу. В трех пазах ступицы расположены сухари 7, входящие. выступами в кольцевую проточку зубьев муфты под действием двух кольцевых пружин 9. По сторонам муфты установлены бронзовые блокирующие кольца 6 и 10, имеющие наружные зубчатые венцы и внутреннюю коническую поверхность с таким же углом конусности, как у конических поверхностей 4 соответственно первичного ва</w:t>
      </w:r>
      <w:r>
        <w:rPr>
          <w:rFonts w:ascii="Times New Roman" w:hAnsi="Times New Roman"/>
          <w:sz w:val="28"/>
          <w:szCs w:val="28"/>
        </w:rPr>
        <w:t>ла // и шестерни 3 третьей пере</w:t>
      </w:r>
      <w:r w:rsidRPr="00CC6D5F">
        <w:rPr>
          <w:rFonts w:ascii="Times New Roman" w:hAnsi="Times New Roman"/>
          <w:sz w:val="28"/>
          <w:szCs w:val="28"/>
        </w:rPr>
        <w:t>дачи. В пазы на торцах блокирующих колец с окружным зазором, равным половине толщины зуба зубчатых венцов, входят концы сухарей 7.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C6D5F">
        <w:rPr>
          <w:rFonts w:ascii="Times New Roman" w:hAnsi="Times New Roman"/>
          <w:sz w:val="28"/>
          <w:szCs w:val="28"/>
        </w:rPr>
        <w:t>При включении передачи, например третьей, муфту 2 вилкой 1 перемещают в сторону шестерни 3. В начале движения муфты сухари сдвигают, блокирующее кольцо 6 до соприкосновения с конической поверхностью 4 шестерни третьей передачи. Под действием сил трения, возникающих на конических поверхностях, блокирующее кольцо 6 поворачивается относительно муфты, и ее зубья упираются в зубья кольца 6. Когда угловые скорости вторичного вала и шестерни 3 выравняются, исчезнут силы трения на конических поверхностях, и кольцевые пружины 9 повернут кольцо 6 относительно конуса 4 в исходное положение, что позволит ввести в зацепление муфту 2 с зубьями венца 5.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C6D5F">
        <w:rPr>
          <w:rFonts w:ascii="Times New Roman" w:hAnsi="Times New Roman"/>
          <w:sz w:val="28"/>
          <w:szCs w:val="28"/>
        </w:rPr>
        <w:t>Механизм переключения коробки передач состоит из вилок 3, 7, 8 (см. рис. 96), закрепленных на ползунах 27—29, рычага 1 переключения, прижимаемого пружиной 2 к сферической поверхности крышки 26, шариковых фиксаторов 25, предотвращающих самопроизвольное включение и выключение передач, замка, исключающего одновременное включение двух передач, и пружинного предохранителя, затрудняющего включение передачи заднего хода.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C6D5F">
        <w:rPr>
          <w:rFonts w:ascii="Times New Roman" w:hAnsi="Times New Roman"/>
          <w:sz w:val="28"/>
          <w:szCs w:val="28"/>
        </w:rPr>
        <w:t>Замок состоит из двух сухарей 30 и 32, размещенных в горизонтальном отверстии Крышки между средним, и крайними ползунами, и щтифта 31, находящегося в отверстии среднего ползуна. При перемещении среднего ползуна оба сухаря выходят из его углублений и запирают крайние ползуны, исключая их смещение. При перемещении одного из крайних ползунов сухарь выходит из его углубления, запирает средний ползун и, действуя через штифт на другой сухарь, запирает также и другой крайний ползун.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C6D5F">
        <w:rPr>
          <w:rFonts w:ascii="Times New Roman" w:hAnsi="Times New Roman"/>
          <w:sz w:val="28"/>
          <w:szCs w:val="28"/>
        </w:rPr>
        <w:t>В головке ползуна 27 заднего хода установлен пружинный предохранитель 33, состоящий из плунжера, нагруженного пружиной, которая препятствует введению в паз головки рычага 1 и тем самым несколько затрудняет включение" передачи заднего хода.</w:t>
      </w: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C6D5F">
        <w:rPr>
          <w:rFonts w:ascii="Times New Roman" w:hAnsi="Times New Roman"/>
          <w:sz w:val="28"/>
          <w:szCs w:val="28"/>
        </w:rPr>
        <w:t>По количеству ползунов коробка передач с таким механизмом переключения называется трехходовой.</w:t>
      </w:r>
    </w:p>
    <w:p w:rsidR="00606F44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6F44" w:rsidRPr="00CC6D5F" w:rsidRDefault="00E37F31" w:rsidP="00CC6D5F">
      <w:pPr>
        <w:spacing w:after="24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98.2pt;margin-top:28.4pt;width:298.95pt;height:354.5pt;z-index:-251658240;visibility:visible">
            <v:imagedata r:id="rId5" o:title=""/>
            <w10:wrap type="through"/>
          </v:shape>
        </w:pict>
      </w:r>
      <w:r w:rsidR="00606F44" w:rsidRPr="00CC6D5F">
        <w:rPr>
          <w:rFonts w:ascii="Times New Roman" w:hAnsi="Times New Roman"/>
          <w:b/>
          <w:sz w:val="28"/>
          <w:szCs w:val="28"/>
        </w:rPr>
        <w:t>Разрез коробки передач автомобиля ГАЗ-53А:</w:t>
      </w: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</w:p>
    <w:p w:rsidR="00606F44" w:rsidRPr="00CC6D5F" w:rsidRDefault="00606F44" w:rsidP="00CC6D5F">
      <w:pPr>
        <w:spacing w:after="240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1 — ведущий вал; 2 — шестерня ведущего вала; 3 — фиксатор; 4 — крышка; 5 — замок; 6 — рычаг переключения передач; 7 и 11 —вилки; 8 и 18 — шестерни третьей передачи; 9 и 17 — шестерни второй передачи; 10 — ползун; 12 и 15 — шестерни первой передачи; 13 — фланец; 14 — ведомый вал; 16 — блок шестерен заднего хода; 19 — картер; 20 — шестерня постоянного зацепления; 21 — промежуточный вал; 22 — синхронизатор; 23 — роликовый подшипник.</w:t>
      </w:r>
    </w:p>
    <w:p w:rsidR="00606F44" w:rsidRDefault="00606F44" w:rsidP="00CC6D5F">
      <w:pPr>
        <w:spacing w:after="24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06F44" w:rsidRPr="00CC6D5F" w:rsidRDefault="00606F44" w:rsidP="00CC6D5F">
      <w:pPr>
        <w:spacing w:after="24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C6D5F">
        <w:rPr>
          <w:rFonts w:ascii="Times New Roman" w:hAnsi="Times New Roman"/>
          <w:b/>
          <w:i/>
          <w:iCs/>
          <w:sz w:val="28"/>
          <w:szCs w:val="28"/>
        </w:rPr>
        <w:t>Техническое обслуживание коробки передач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При ТО: Необходимо визуально проверить состояние коробки передач, причём подтекание масла не допускается.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При ТО-2 необходимо провести операции, проводимые при ТО-1, а также через два ТО-2 заменить в коробке передач масло.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Порядок смены масла в коробке передач: 1). Сливать масло нужно непосредственно после поездки. 2). Перед сливом масла необходимо очистить сапун от загрязнения. 3). Подставить ёмкость под отверстие для слива масла коробки передач. 4). Отвернуть маслосливную пробку и слить масло. Завернуть маслосливную пробку и отвернуть маслозаливную пробку.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5). При сильно загрязнённом слитом масле или при наличии механических примесей в нём необходимо сделать следующее: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залить в картер 0,9 л промывочного масла и установить маслозаливную пробку на место; вывесить одно или оба колеса, включить Г</w:t>
      </w:r>
      <w:r w:rsidRPr="00CC6D5F">
        <w:rPr>
          <w:rFonts w:ascii="Times New Roman" w:hAnsi="Times New Roman"/>
          <w:sz w:val="28"/>
          <w:szCs w:val="28"/>
          <w:vertAlign w:val="superscript"/>
        </w:rPr>
        <w:t>ю</w:t>
      </w:r>
      <w:r w:rsidRPr="00CC6D5F">
        <w:rPr>
          <w:rFonts w:ascii="Times New Roman" w:hAnsi="Times New Roman"/>
          <w:sz w:val="28"/>
          <w:szCs w:val="28"/>
        </w:rPr>
        <w:t xml:space="preserve"> передачу и запустить двигатель на 2-3 мин; слить промывочное масло;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протереть маслосливную пробку и установить её на место.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6). Заправить с помощью шприца картер коробки передач свежим маслом. Заправку проводить до уровня маслосливного отверстия (1,2 л). 7). Установить маслосливную пробку на место.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C6D5F">
        <w:rPr>
          <w:rFonts w:ascii="Times New Roman" w:hAnsi="Times New Roman"/>
          <w:b/>
          <w:i/>
          <w:sz w:val="28"/>
          <w:szCs w:val="28"/>
        </w:rPr>
        <w:t>Применяемое оборудование и инструмент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 xml:space="preserve">Технологическое оборудование, используемое на СТО, в зависимости от его назначения подразделяется на </w:t>
      </w:r>
      <w:r w:rsidRPr="00CC6D5F">
        <w:rPr>
          <w:rFonts w:ascii="Times New Roman" w:hAnsi="Times New Roman"/>
          <w:i/>
          <w:iCs/>
          <w:sz w:val="28"/>
          <w:szCs w:val="28"/>
        </w:rPr>
        <w:t>подъёмно-осмотровое, подъёмно-транспортное, специализированное оборудование для ТО и специализированное оборудование для ТР автомобилей.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  <w:u w:val="single"/>
        </w:rPr>
        <w:t>Первая</w:t>
      </w:r>
      <w:r w:rsidRPr="00CC6D5F">
        <w:rPr>
          <w:rFonts w:ascii="Times New Roman" w:hAnsi="Times New Roman"/>
          <w:sz w:val="28"/>
          <w:szCs w:val="28"/>
        </w:rPr>
        <w:t xml:space="preserve"> группа включает оборудование и устройства, обеспечивающие при ТО и ТР удобный доступ к агрегатам, механизмам и деталям, расположенным снизу и сбоку автомобиля. Сюда входят осмотровые канавы, эстакады, подъёмники, опрокидыватели и гаражные домкраты.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  <w:u w:val="single"/>
        </w:rPr>
        <w:t>Вторая</w:t>
      </w:r>
      <w:r w:rsidRPr="00CC6D5F">
        <w:rPr>
          <w:rFonts w:ascii="Times New Roman" w:hAnsi="Times New Roman"/>
          <w:sz w:val="28"/>
          <w:szCs w:val="28"/>
        </w:rPr>
        <w:t xml:space="preserve"> группа включает оборудование для подъёма и перемещения агрегатов, узлов и механизмов автомобиля: передвижные краны, электротельферы, кран-балки, грузовые тележки и конвейеры.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  <w:u w:val="single"/>
        </w:rPr>
        <w:t>Третья</w:t>
      </w:r>
      <w:r w:rsidRPr="00CC6D5F">
        <w:rPr>
          <w:rFonts w:ascii="Times New Roman" w:hAnsi="Times New Roman"/>
          <w:sz w:val="28"/>
          <w:szCs w:val="28"/>
        </w:rPr>
        <w:t xml:space="preserve"> группа - специализированное оборудование, предназначенное для выполнения технологических операций ТО: уборочно-моечных, крепёжных, смазочных, диагностических, регулировочных и заправочных.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  <w:u w:val="single"/>
        </w:rPr>
        <w:t>Четвёртая</w:t>
      </w:r>
      <w:r w:rsidRPr="00CC6D5F">
        <w:rPr>
          <w:rFonts w:ascii="Times New Roman" w:hAnsi="Times New Roman"/>
          <w:sz w:val="28"/>
          <w:szCs w:val="28"/>
        </w:rPr>
        <w:t xml:space="preserve"> группа - специализированное оборудование, предназначенное для выполнения технологических операций ТР: разборочно-сборочное, слесарно-механическое, кузнечное, сварочное, медницкое, кузовное, шиномонтажное и вулканизационное, электротехническое и для ремонта систем питания.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6D5F">
        <w:rPr>
          <w:rFonts w:ascii="Times New Roman" w:hAnsi="Times New Roman"/>
          <w:b/>
          <w:bCs/>
          <w:i/>
          <w:iCs/>
          <w:sz w:val="28"/>
          <w:szCs w:val="28"/>
        </w:rPr>
        <w:t>Подъёмно-осмотровое оборудование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К подъёмно-осмотровому оборудованию, применяемому при ТО и ТР сцепления и коробки передач относится стационарный двухстоечный электромеханический подъёмник П133 грузоподъёмностью 2 т или четырёхстоечный электромеханический подъёмник П150.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6D5F">
        <w:rPr>
          <w:rFonts w:ascii="Times New Roman" w:hAnsi="Times New Roman"/>
          <w:b/>
          <w:bCs/>
          <w:i/>
          <w:iCs/>
          <w:sz w:val="28"/>
          <w:szCs w:val="28"/>
        </w:rPr>
        <w:t>Специализированное оборудование для ТО и ТР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К специализированному оборудованию, применяемому при ТО и ТР сцепления и коробки передач относится: моечная машина для мойки деталей и узлов модели М316, пистолет для обдува деталей сжатым воздухом, шприц для смазки, комплект инструмента модели 2446, штангенциркуль ШЦ-Ш, динамометрический ключ, ленточный щуп.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Нормы времени на выполнение работ по ТО и ТР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Трудоёмкость представляет собой затраты труда на выполнение операции или группы операций технического обслуживания или ремонта, измеряемые в человеко-часах или нормо-часах.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Норматив трудоёмкости необходим для определения числа исполнителей и оплаты их труда за фактически выполненную работу с учётом требуемой квалификации рабочего (тарифной ставки).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Фактическое время или трудоёмкость выполнения операций ТО и ремонта является случайной величиной, имеющей значительную вариацию, зависящую от технического состояния и срока службы автомобиля, условий выполнения работы, применяемого оборудования, квалификации персонала и других факторов.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D5F">
        <w:rPr>
          <w:rFonts w:ascii="Times New Roman" w:hAnsi="Times New Roman"/>
          <w:sz w:val="28"/>
          <w:szCs w:val="28"/>
        </w:rPr>
        <w:t>При определении или измерении норм используют так называемую фотографию рабочего времени, хронометражные наблюдения, метод микроэлементных нормативов времени.</w:t>
      </w: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6F44" w:rsidRPr="00CC6D5F" w:rsidRDefault="00606F44" w:rsidP="00CC6D5F">
      <w:pPr>
        <w:spacing w:after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06F44" w:rsidRPr="00CC6D5F" w:rsidSect="00CC6D5F">
      <w:pgSz w:w="11907" w:h="16839" w:code="9"/>
      <w:pgMar w:top="1138" w:right="634" w:bottom="1138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D5F"/>
    <w:rsid w:val="0011430D"/>
    <w:rsid w:val="00130E37"/>
    <w:rsid w:val="00195072"/>
    <w:rsid w:val="00402D2A"/>
    <w:rsid w:val="00606F44"/>
    <w:rsid w:val="006B2FE3"/>
    <w:rsid w:val="00724C79"/>
    <w:rsid w:val="00CC6D5F"/>
    <w:rsid w:val="00D94317"/>
    <w:rsid w:val="00E37F31"/>
    <w:rsid w:val="00F1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BBAAB9D-4F7D-4E5B-A5EA-E175954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0E37"/>
    <w:rPr>
      <w:rFonts w:eastAsia="Times New Roman" w:cs="Times New Roman"/>
      <w:sz w:val="22"/>
      <w:szCs w:val="22"/>
      <w:lang w:val="ru-RU" w:eastAsia="x-none"/>
    </w:rPr>
  </w:style>
  <w:style w:type="paragraph" w:styleId="a4">
    <w:name w:val="Balloon Text"/>
    <w:basedOn w:val="a"/>
    <w:link w:val="a5"/>
    <w:semiHidden/>
    <w:rsid w:val="00CC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CC6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Устройство и назначение коробки передач автомобиля ГАЗ-53А</vt:lpstr>
    </vt:vector>
  </TitlesOfParts>
  <Company/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Устройство и назначение коробки передач автомобиля ГАЗ-53А</dc:title>
  <dc:subject/>
  <dc:creator>макс</dc:creator>
  <cp:keywords/>
  <dc:description/>
  <cp:lastModifiedBy>admin</cp:lastModifiedBy>
  <cp:revision>2</cp:revision>
  <cp:lastPrinted>2010-10-19T19:02:00Z</cp:lastPrinted>
  <dcterms:created xsi:type="dcterms:W3CDTF">2014-04-04T18:03:00Z</dcterms:created>
  <dcterms:modified xsi:type="dcterms:W3CDTF">2014-04-04T18:03:00Z</dcterms:modified>
</cp:coreProperties>
</file>