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7B72E2" w:rsidRDefault="007B72E2" w:rsidP="007B72E2">
      <w:pPr>
        <w:autoSpaceDE w:val="0"/>
        <w:autoSpaceDN w:val="0"/>
        <w:adjustRightInd w:val="0"/>
        <w:spacing w:line="360" w:lineRule="auto"/>
        <w:ind w:firstLine="720"/>
        <w:jc w:val="both"/>
        <w:rPr>
          <w:b/>
          <w:bCs/>
          <w:caps/>
          <w:sz w:val="28"/>
          <w:szCs w:val="28"/>
        </w:rPr>
      </w:pPr>
    </w:p>
    <w:p w:rsidR="00C06EF5" w:rsidRPr="007B72E2" w:rsidRDefault="00C06EF5" w:rsidP="007B72E2">
      <w:pPr>
        <w:autoSpaceDE w:val="0"/>
        <w:autoSpaceDN w:val="0"/>
        <w:adjustRightInd w:val="0"/>
        <w:spacing w:line="360" w:lineRule="auto"/>
        <w:ind w:firstLine="720"/>
        <w:jc w:val="center"/>
        <w:rPr>
          <w:b/>
          <w:bCs/>
          <w:caps/>
          <w:sz w:val="28"/>
          <w:szCs w:val="28"/>
        </w:rPr>
      </w:pPr>
      <w:r w:rsidRPr="007B72E2">
        <w:rPr>
          <w:b/>
          <w:bCs/>
          <w:caps/>
          <w:sz w:val="28"/>
          <w:szCs w:val="28"/>
        </w:rPr>
        <w:t>Увольнение работника с целью недопущения коррупции</w:t>
      </w:r>
    </w:p>
    <w:p w:rsidR="00C06EF5" w:rsidRPr="007B72E2" w:rsidRDefault="00C06EF5" w:rsidP="007B72E2">
      <w:pPr>
        <w:autoSpaceDE w:val="0"/>
        <w:autoSpaceDN w:val="0"/>
        <w:adjustRightInd w:val="0"/>
        <w:spacing w:line="360" w:lineRule="auto"/>
        <w:ind w:firstLine="720"/>
        <w:jc w:val="both"/>
        <w:rPr>
          <w:sz w:val="28"/>
          <w:szCs w:val="28"/>
        </w:rPr>
      </w:pPr>
    </w:p>
    <w:p w:rsidR="00C06EF5" w:rsidRPr="007B72E2" w:rsidRDefault="007B72E2" w:rsidP="007B72E2">
      <w:pPr>
        <w:autoSpaceDE w:val="0"/>
        <w:autoSpaceDN w:val="0"/>
        <w:adjustRightInd w:val="0"/>
        <w:spacing w:line="360" w:lineRule="auto"/>
        <w:ind w:firstLine="720"/>
        <w:jc w:val="both"/>
        <w:rPr>
          <w:sz w:val="28"/>
          <w:szCs w:val="28"/>
        </w:rPr>
      </w:pPr>
      <w:r>
        <w:rPr>
          <w:sz w:val="28"/>
          <w:szCs w:val="28"/>
        </w:rPr>
        <w:br w:type="page"/>
      </w:r>
      <w:r w:rsidR="00C06EF5" w:rsidRPr="007B72E2">
        <w:rPr>
          <w:sz w:val="28"/>
          <w:szCs w:val="28"/>
        </w:rPr>
        <w:t>Трудовой договор может быть прекращен в случае неподписания либо нарушения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 (п. 5 ст. 47 Трудового кодекса Республики Беларусь (далее - ТК)).</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Данное основание увольнения работника является относительно новым, его история началась с принятия Закона Республики Беларусь от 26.06.1997 № 47-З "О мерах борьбы с организованной преступностью и коррупцией" и внесения в ст. 254 Кодекса законов о труде Республики Беларусь специального основания прекращения трудового договора. В настоящее время действует новый Закон Республики Беларусь от 20.07.2006 № 165-З "О борьбе с коррупцией" (далее - Закон о борьбе с коррупцией). Столь динамичное развитие законодательства свидетельствует об актуальности проблемы, связанной с коррупционными проявлениями, и о формах государственного реагирования на данные проявления.</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Одной из них является увольнение отдельных категорий работников по основанию, которое законодателем отнесено к разряду специальных (дополнительных).</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В п. 45 постановления Пленума Верховного Суда Республики Беларусь от 29.03.2001 № 2 разъяснено: "При рассмотрении иска о восстановлении на работе лица, уволенного по п. 5 ст. 47 ТК, судам следует исследовать факты о том, относится ли истец к лицам, уполномоченным на выполнение государственных функций и приравненным к ним; обоснованно ли к нему предъявлены нанимателем требования о подписании письменных обязательств по выполнению мер по предупреждению коррупции; соответствует ли текст письменных обязательств положениям Закона Республики Беларусь "О мерах борьбы с организованной преступностью и коррупцией"; в чем конкретно выразились виновные действия истца и неисполнение принятых обязательств.</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Кроме указанных обстоятельств, суд должен исследовать круг должностных обязанностей истца, всесторонне проверить доводы сторон по заявленным истцом требованиям".</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Прежде всего необходимо подчеркнуть, что все эти обстоятельства исследуются судами с целью выяснить, имели ли место коррупционные действия. И на основе этого дается оценка о законности увольнения работника по п. 5 ст. 47 ТК.</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Общее понятие коррупции определено в ст. 1 Закона о борьбе с коррупцией: "Коррупция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Законодателем сделана попытка в последующих статьях Закона о борьбе с коррупцией детализировать данное понятие. Становится очевидным, что увольнение работника по п. 5 ст. 47 ТК основано на положениях Закона о борьбе с коррупцией, а также Закона Республики Беларусь от14.06.2003 № 204-З "О государственной службе в Республике Беларусь" (далее -Закон о госслужбе), в какой-то мере Директивы Президента Республики Беларусь от 27.12.2006 № 2 "О мерах по дальнейшей дебюрократизации государственного аппарата", других нормативных правовых актах, принятых на основе названных законодательных актов.</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Увольнение по п. 5 ст. 47 ТК признается законным, если наниматель, руководствуясь нормами данного законодательства, выполнил ряд важнейших требований.</w:t>
      </w:r>
    </w:p>
    <w:p w:rsidR="00C06EF5" w:rsidRPr="007B72E2" w:rsidRDefault="00C06EF5" w:rsidP="007B72E2">
      <w:pPr>
        <w:autoSpaceDE w:val="0"/>
        <w:autoSpaceDN w:val="0"/>
        <w:adjustRightInd w:val="0"/>
        <w:spacing w:line="360" w:lineRule="auto"/>
        <w:ind w:firstLine="720"/>
        <w:jc w:val="both"/>
        <w:rPr>
          <w:sz w:val="28"/>
          <w:szCs w:val="28"/>
        </w:rPr>
      </w:pPr>
      <w:r w:rsidRPr="007B72E2">
        <w:rPr>
          <w:b/>
          <w:bCs/>
          <w:sz w:val="28"/>
          <w:szCs w:val="28"/>
        </w:rPr>
        <w:t>1.</w:t>
      </w:r>
      <w:r w:rsidRPr="007B72E2">
        <w:rPr>
          <w:sz w:val="28"/>
          <w:szCs w:val="28"/>
        </w:rPr>
        <w:t>Нанимателю необходимо выяснить, относится ли работник к лицам, уполномоченным на выполнение государственных функций и, приравненных к ним лицам. На основе вышеизложенного определе</w:t>
      </w:r>
      <w:r w:rsidR="00462357">
        <w:rPr>
          <w:sz w:val="28"/>
          <w:szCs w:val="28"/>
        </w:rPr>
        <w:t>ния по</w:t>
      </w:r>
      <w:r w:rsidRPr="007B72E2">
        <w:rPr>
          <w:sz w:val="28"/>
          <w:szCs w:val="28"/>
        </w:rPr>
        <w:t>нятия "коррупция" к лицам, уполномоченным</w:t>
      </w:r>
      <w:r w:rsidR="00462357">
        <w:rPr>
          <w:sz w:val="28"/>
          <w:szCs w:val="28"/>
        </w:rPr>
        <w:t xml:space="preserve"> </w:t>
      </w:r>
      <w:r w:rsidRPr="007B72E2">
        <w:rPr>
          <w:sz w:val="28"/>
          <w:szCs w:val="28"/>
        </w:rPr>
        <w:t>на выполнение государственных функций, относятся: государственные должностные лица; лица, приравненные к государственным должностным лицам; иностранные должностные лица. В Законе о борьбе с коррупцией круг субъектов расширен, и, кроме того, законодатель сделал попытку их разграничить, приняв за основу статус государственных должностных и приравненных к ним лиц.</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Государственные должностные лица:</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Президент Республики Беларусь;</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депутаты Палаты представителей;</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члены Совета Республики Национального собрания Республики Беларусь;</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депутаты местных Советов депутатов, осуществляющие свои полномочия на профессиональной основе;</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иные государственные служащие, лица, занимающие должно</w:t>
      </w:r>
      <w:r w:rsidR="00462357">
        <w:rPr>
          <w:sz w:val="28"/>
          <w:szCs w:val="28"/>
        </w:rPr>
        <w:t>сти в государ</w:t>
      </w:r>
      <w:r w:rsidRPr="007B72E2">
        <w:rPr>
          <w:sz w:val="28"/>
          <w:szCs w:val="28"/>
        </w:rPr>
        <w:t>ственных организациях, Вооруженных Силах Республики Беларусь, других войсках и воинских формированиях Республики Беларусь и относящиеся в соответствии с законодательством Республики Беларусь к должностным лицам.</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Лица, приравненные к государственным должностным лицам:</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 члены высшего законодательного органа страны и депутаты местных Советов депутатов, осуществляющие свои полномочия на непрофессиональной основе,</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 кандидаты в депутаты органов государственной власти;</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административно-хозяйственных функций;</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 лица, уполномоченные в установленном порядке на совершение юридически значимых действий;</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 государственные служащие, не относящиеся к должностным лицам, и др.</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Иностранные должностные лица:</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должностные лица иностранных государств, международных организаций, международных судов, а также судьи этих судов и др.</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По мнению автора, несмотря на то что законодатель существенно расширил перечень субъектов правонарушений, создающих условия для коррупции, среди них все же высокий удельный вес имеют государственные служащие. Последние выступают от имени государства и, занимая государственную должность, выполняют функции в интересах государства. Это и является определяющим признаком цивилизованности любого государства, если оно в своем составе имеет государственно-правовой институт, который именуется государственной службой, успешно структурированный и стабильно функционирующий.</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С принятием Закона о госслужбе понятие государственного служащего трактуется более широко: 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выполняющий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 (ст. 5 Закона о госслужбе).</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Исходя из этого понятия и в силу ст. 7 Закона о госслужбе к лицам, состоящим на государственной службе, относятся лица, которые в установленном законодательством порядке занимают государственные должности в:</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Палате представителей и Совете Республики Национального собрания Республики Беларусь и их секретариатах;</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Правительстве Республики Беларусь и его Аппарате;</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Конституционном Суде Республики Беларусь и его Секретариате, Верховном Суде Республики Беларусь и его аппарате, Высшем Хозяйственном Суде Республики Беларусь и его аппарате, общих и хозяйственных судах и их аппаратах;</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Администрации Президента Республики Беларусь, Государственном секретариате Совета Безопасности Республики Беларусь, иных государственных органах, непосредственно обеспечивающих деятельность Президента Республики Беларусь;</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органах Комитета государственного контроля Республики Беларусь, органах Прокуратуры Республики Беларусь, Национальном банке Республики Беларусь, Центральной комиссии Республики Беларусь по выборам и проведению республиканских референдумов и ее аппарате;</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министерствах, иных республиканских органах государственного управления, их территориальных подразделениях;</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дипломатических представитель-ствах, консульских учреждениях и миссиях Республики Беларусь;</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государственных нотариальных кон-торах;</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таможенных органах;</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иных государственных органах и приравненных к ним в соответствии с законодательством государственных организациях.</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Законодатель не ограничивает перечень государственных органов, служба в которых является государственной службой, а лица, выполняющие в них государственные функции, имеют статус государственных служащих.</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Государственная служба в современных условиях достаточно многогранная категория. Законодатель не мог учесть всех ее сфер, и, несмотря на официальное разделение властей (законодательной, исполнительной, судебной), к государственной службе следует отнести службу в органах внутренних дел, военную службу, службу в налоговых органах, в органах и подразделениях по чрезвычайным ситуациям, в органах финансовых расследований и т.д. Большинство ученых придерживаются позиции разделения государственной службы на гражданскую, военизированную (например, служба в органах внутренних дел) и военную.</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Наибольшей спецификой отличается военизированная и военная служба, поэтому действия Закона о госслужбе не распространяются на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так как их статус определен специальными законодательными актами.</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Определенной профессиональной спецификой отличается государственная служба в органах прокуратуры, судах, таможенных органах. Предусмотреть и урегулировать все эти особенности не представляется возможным, поэтому в п. 2 ст. 7 Закона о госслужбе имеется положение, указывающее, что на отношения, связанные с поступлением, прохождением, прекращением государственной службы применительно к отдельным категориям государственных служащих, обусловленные спецификой их профессиональной деятельности, не урегулированные Законом о госслужбе, распространяются нормы специальных законодательных актов, закрепляющих их правовой статус.</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Вместе с тем даже при такой многогранности государственной службы и распространении на государственных служащих ряда специальных нормативных правовых актов все государственные служащие согласно Законам о борьбе с коррупцией и о госслужбе выполняют государственные функции и при наличии с ними трудового договора (контракта) все подпадают под действие п. 5 ст. 47 ТК. Это свидетельствует о реализации принципа единства в системе государственной службы и дифференциации. Наряду с этим принципом в ст. 6 Закона о госслужбе перечислены и другие принципы: служения народу; профессионализма и компетентности государственных служащих, что означает постоянную готовность к надлежащему осуществлению своих прав и обязанностей.</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Государственный служащий в силу норм ст. 5 Закона о госслужбе, во-первых, должен занимать государственную должность; во-вторых, должен быть наделен соответствующими полномочиями. Должность должна быть включена в штатное расписание государственного органа как штатная его единица с определенным для занимающего ее лица кругом обязанностей по исполнению и обеспечению полномочий данного государственного органа. Этим основным признаком отличается должность государственного служащего от других должностей, которые также включены в штатное расписание государственного органа, но в их обязанности входит техническое обслуживание и оказание помощи государственным служащим.</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Это послужило основанием для нераспространения на данных работников, учитывая выполнение ими вспомогательных функций, статуса государственных служащих. В связи с этим постановлением Министерства труда и социальной защиты Республики Беларусь от 17.10.2003 № 123 утвержден перечень должностей работников, осуществляющих техническое обслуживание и обеспечивающих деятельность государственных органов, не относящихся к государственным должностям. Это:</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 начальник (заведующий) общего отдела, его заместитель, осуществляющие только технические функции и обеспечивающие деятельность государственного органа;</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 начальник (заведующий) хозяйственного, административно-хозяйственного отдела и других структурных подразделений с аналогичными функциями,</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 его заместитель;</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 заведующий: архивом, канцелярией, машинописным бюро, копировально-множительным бюро, экспедицией, хозяйством, складом, научно-технической библиотекой (библиотекой) и др.</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На указанные категории работников действие нормы п. 5 ст. 47 ТК не распространяется.</w:t>
      </w:r>
    </w:p>
    <w:p w:rsidR="00C06EF5" w:rsidRPr="007B72E2" w:rsidRDefault="00C06EF5" w:rsidP="007B72E2">
      <w:pPr>
        <w:autoSpaceDE w:val="0"/>
        <w:autoSpaceDN w:val="0"/>
        <w:adjustRightInd w:val="0"/>
        <w:spacing w:line="360" w:lineRule="auto"/>
        <w:ind w:firstLine="720"/>
        <w:jc w:val="both"/>
        <w:rPr>
          <w:sz w:val="28"/>
          <w:szCs w:val="28"/>
        </w:rPr>
      </w:pPr>
      <w:r w:rsidRPr="007B72E2">
        <w:rPr>
          <w:b/>
          <w:bCs/>
          <w:sz w:val="28"/>
          <w:szCs w:val="28"/>
        </w:rPr>
        <w:t>2.</w:t>
      </w:r>
      <w:r w:rsidRPr="007B72E2">
        <w:rPr>
          <w:sz w:val="28"/>
          <w:szCs w:val="28"/>
        </w:rPr>
        <w:t>Установить, обоснованно ли к работнику предъявлены нанимателем требования о подписании письменных обязательств по выполнению мер по предупреждению коррупции.</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Государственные служащие подписывают письменные обязательства, в которых содержатся ограничения, связанные с государственной службой. Данные ограничения предусмотрены ст. 22 Закона о госслужбе.</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Содержательный смысл этих ограничений в большой степени совпадает с нормами ст. 17 Закона о борьбе с коррупцией. Большинство государственных служащих, по крайней мере, те, с которыми заключаются контракты, именно в контрактах дают письменные обязательства соблюдать ограничения, связанные с государственной службой.</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В п. 3.3 Примерной формы контракта с государственными служащими (приложение к Положению о порядке и условиях заключения контрактов с государственными служащими), утвержденной постановлением Совета Министров Республики Беларусь от 07.10.2003 № 1271, указано о соблюдении государственными служащими ограничений, связанных с государственной службой, установленных Конституцией Республики Беларусь, иными законодательными актами, а также ограничения, установленные ст. 22 Закона о госслужбе. Обоснованность требований к государственным служащим не вызывает сомнений в связи с тем, что, во-первых, в силу ст. 30 Закона о госслужбе с ними заключаются контракты; во-вторых, в содержании контрактов обязательно указываются ограничения, связанные с государственной службой, неисполнение которых может быть основанием для применения п. 5 ст. 47 ТК.</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Следует отметить, что несмотря на то что в соответствии с п. 5 ст. 30 Закона о госслужбе названы отдельные категории государственных служащих, с которыми не заключаются контракты, тем не менее на них также распространяются ограничения, связанные с государственной службой, указанные в ст. 22 Закона о госслужбе. К числу таких лиц относятся: Премьер-министр, депутаты Палаты представителей,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судьи.</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Комплекс мер по предупреждению коррупции должен отражаться в письменных обязательствах, в которых согласие подтверждается личными подписями лиц, уполномоченных на выполнение государственных функций: государственных должностных и приравненных к ним лиц.</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Для того чтобы иметь основания применить п. 5 ст. 47 ТК, нанимателям необходимо проследить, соответствует ли текст письменных обязательств положениям ст. 17 и 20 Закона о борьбе с коррупцией.С целью недопущения коррупции государственным должностным лицам и лицам, приравненным к ним, запрещается:</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вмешательство с использованием своих служебных полномочий в деятельность иных государственных органов и других организаций, если это не входит в круг их полномочий и не основано на законодательном акте Республики Беларусь;</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использование своего служебного положения при решении вопросов, затрагивающих их личные, групповые и иные внеслужебные интересы, если это не связано со служебной деятельностью;</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оказание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участие в качестве поверенных третьих лиц в делах государственной организации, в которой они состоят на службе, либо подчиненной или подконтрольной ей иной государственной организации;</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использование в личных, групповых и иных внеслужебных интересах информации, содержащей сведения, составляющие государственные секреты, коммерческую, банковскую или иную охраняемую законом тайну, полученной при исполнении ими служебных (трудовых) обязанностей;</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отказ в предоставлении информации физическим или юридическим лицам, предоставление которой этим лицам предусмотрено законодательством Республики Беларусь, умышленное несвоевременное ее предоставление или предоставление неполной либо недостоверной информации;</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требование от физических или юридических лиц информации, в том числе документов, предоставление которой не предусмотрено законодательством Республики Беларусь;</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нарушение (в личных, групповых и иных внеслужебных интересах) установленного законодательными актами Республики Беларусь порядка рассмотрения обращений физических или юридических лиц и принятия решений по вопросам, входящим в их компетенцию;</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создание препятствий физическим или юридическим лицам в реализации их прав и законных интересов;</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делегирование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 Республики Беларусь;</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нарушение порядка проведения конкурсов и аукционов, установленного законодательством Республики Беларусь;</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требование предоставления безвозмездной (спонсорской) помощи, а равно нарушение порядка ее предоставления и использования, установленного законодательством Республики Беларусь.</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Обязательства государственных должностных лиц и лиц, приравненных к ним, оформляются письменно, преимущественно посредством трудового договора (контракта).</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Так, государственный служащий, заключая контракт, на основании ст. 22 Закона о госслужбе, а также Положения о порядке и условиях заключения контрактов с государственными служащими, утвержденного постановлением Совета Министров Республики Беларусь от 07.10.2003 № 1271, и п. 3 Примерной формы контракта с государственным служащим, принимает на себя следующие обязанности:</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не заниматься предпринимательской деятельностью лично или через доверенных лиц, не оказывать содействие близким родственникам в осуществлении предпринимательской деятельности, используя служебное положение;</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не принимать участие лично или через доверенных лиц в управлении коммерческой организацией;</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не занимать другие государственные должности, за исключением случаев, предусмотренных законодательством;</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не заниматься в рабочее время другой оплачиваемой работой (деятельностью), кроме преподавательской, научной, культурной, творческой деятельности, медицинской практики, осуществляемой в порядке и на условиях, установленных законодательством;</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не использовать служебное положение в интересах политических партий, религиозных организаций, иных юридических лиц, а также граждан, если это расходится с интересами государственной службы;</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не принимать от физических и юридических лиц любые не предусмотренные законодательством вознаграждения, включая подарки, в связи с исполнением служебных обязанностей, за исключением сувениров;</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не пользоваться в личных целях бесплатными услугами физических и юридических лиц, оказанными ими в связи с исполнением государственным служащим своих служебных обязанностей;</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не использовать во внеслужебных целях средства материально-технического, финансового и информационного обеспечения, другое имущество государственного органа и служебную тайну;</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не иметь счета в иностранных банках, за исключением случаев выполнения государственных функций в других странах;</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передать в доверительное управление под гарантию государства на время прохождения государственной службы находящиеся в его собственности доли участия (акции, права) в уставном фонде коммерческих организаций, за исключением случаев, предусмотренных законодательством.</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Как подчеркивалось выше, многогранность государственной службы не позволяет законодателю в одном законодательном акте предусмотреть исчерпывающий перечень ограничений для государственных служащих. Законодательными актами могут быть установлены иные ограничения, связанные с государственной службой (п. 2 Закона о госслужбе).</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Указанные ограничения для государ-ственных служащих во многом совпадают с ограничениями, предусмотренными ст. 17 Закона о борьбе с коррупцией. Сходство норм прослеживается также при постановке вопроса об ответственности государственных должностных и приравненных к ним лиц, нарушивших обязательство по соблюдению ограничений, что также влечет освобождение от занимаемых должностей.</w:t>
      </w:r>
    </w:p>
    <w:p w:rsidR="00C06EF5" w:rsidRPr="007B72E2" w:rsidRDefault="00C06EF5" w:rsidP="007B72E2">
      <w:pPr>
        <w:autoSpaceDE w:val="0"/>
        <w:autoSpaceDN w:val="0"/>
        <w:adjustRightInd w:val="0"/>
        <w:spacing w:line="360" w:lineRule="auto"/>
        <w:ind w:firstLine="720"/>
        <w:jc w:val="both"/>
        <w:rPr>
          <w:sz w:val="28"/>
          <w:szCs w:val="28"/>
        </w:rPr>
      </w:pPr>
      <w:r w:rsidRPr="007B72E2">
        <w:rPr>
          <w:b/>
          <w:bCs/>
          <w:sz w:val="28"/>
          <w:szCs w:val="28"/>
        </w:rPr>
        <w:t>3.</w:t>
      </w:r>
      <w:r w:rsidRPr="007B72E2">
        <w:rPr>
          <w:sz w:val="28"/>
          <w:szCs w:val="28"/>
        </w:rPr>
        <w:t>Выяснить, в чем конкретно выразились виновные действия работника и неисполнение принятых обязательств. Для этого необходимо исследовать трудовой договор (контракт), должностные инструкции, другие документы, в которых устанавливаются обязанности по выполнению государственных функций рассматриваемых категорий служащих - государственных должностных и приравненных к ним лиц.</w:t>
      </w:r>
    </w:p>
    <w:p w:rsidR="00C06EF5" w:rsidRPr="007B72E2" w:rsidRDefault="00C06EF5" w:rsidP="007B72E2">
      <w:pPr>
        <w:autoSpaceDE w:val="0"/>
        <w:autoSpaceDN w:val="0"/>
        <w:adjustRightInd w:val="0"/>
        <w:spacing w:line="360" w:lineRule="auto"/>
        <w:ind w:firstLine="720"/>
        <w:jc w:val="both"/>
        <w:rPr>
          <w:sz w:val="28"/>
          <w:szCs w:val="28"/>
        </w:rPr>
      </w:pPr>
      <w:r w:rsidRPr="007B72E2">
        <w:rPr>
          <w:sz w:val="28"/>
          <w:szCs w:val="28"/>
        </w:rPr>
        <w:t>Наряду с перечисленными документами доказательствами по данной категории дел являются:</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приказы о приеме и об увольнении;</w:t>
      </w:r>
    </w:p>
    <w:p w:rsidR="00C06EF5" w:rsidRPr="007B72E2" w:rsidRDefault="00C06EF5" w:rsidP="007B72E2">
      <w:pPr>
        <w:numPr>
          <w:ilvl w:val="1"/>
          <w:numId w:val="1"/>
        </w:numPr>
        <w:autoSpaceDE w:val="0"/>
        <w:autoSpaceDN w:val="0"/>
        <w:adjustRightInd w:val="0"/>
        <w:spacing w:line="360" w:lineRule="auto"/>
        <w:ind w:left="0" w:firstLine="720"/>
        <w:jc w:val="both"/>
        <w:rPr>
          <w:sz w:val="28"/>
          <w:szCs w:val="28"/>
        </w:rPr>
      </w:pPr>
      <w:r w:rsidRPr="007B72E2">
        <w:rPr>
          <w:sz w:val="28"/>
          <w:szCs w:val="28"/>
        </w:rPr>
        <w:t>- доказательства о факте неподписания либо нарушения работником письменных обязательств по выполнению предусмотренных законодательством мер по предупреждению коррупции.</w:t>
      </w:r>
    </w:p>
    <w:p w:rsidR="00C06EF5" w:rsidRDefault="00C06EF5" w:rsidP="007B72E2">
      <w:pPr>
        <w:autoSpaceDE w:val="0"/>
        <w:autoSpaceDN w:val="0"/>
        <w:adjustRightInd w:val="0"/>
        <w:spacing w:line="360" w:lineRule="auto"/>
        <w:ind w:firstLine="720"/>
        <w:jc w:val="both"/>
        <w:rPr>
          <w:sz w:val="28"/>
          <w:szCs w:val="28"/>
        </w:rPr>
      </w:pPr>
      <w:r w:rsidRPr="007B72E2">
        <w:rPr>
          <w:sz w:val="28"/>
          <w:szCs w:val="28"/>
        </w:rPr>
        <w:t>Увольнение по п. 5 ст. 47 ТК не является мерой дисциплинарного взыскания. Это означает, что на нанимателя не возлагается обязанность соблюдения сроков, предусмотренных ст. 200 ТК для наложения мер дисциплинарных взысканий и других процедурных правил, связанных с увольнением как мерой дисциплинарного взыскания. При применении данного основания прекращения трудового договора (контракта) не требуется обеспечивать увольняемому гарантии, предусмотренные ТК: увольнение работника по п. 5 ст. 47 ТК осуществляется без уведомления профсоюза (ст. 46 ТК) и без выплаты выходного пособия (ст. 49 ТК).</w:t>
      </w:r>
    </w:p>
    <w:p w:rsidR="007B72E2" w:rsidRPr="007B72E2" w:rsidRDefault="007B72E2" w:rsidP="007B72E2">
      <w:pPr>
        <w:autoSpaceDE w:val="0"/>
        <w:autoSpaceDN w:val="0"/>
        <w:adjustRightInd w:val="0"/>
        <w:spacing w:line="360" w:lineRule="auto"/>
        <w:ind w:firstLine="720"/>
        <w:jc w:val="both"/>
        <w:rPr>
          <w:sz w:val="28"/>
          <w:szCs w:val="28"/>
        </w:rPr>
      </w:pPr>
    </w:p>
    <w:p w:rsidR="00C06EF5" w:rsidRPr="007B72E2" w:rsidRDefault="00C06EF5" w:rsidP="007B72E2">
      <w:pPr>
        <w:spacing w:line="360" w:lineRule="auto"/>
        <w:ind w:firstLine="720"/>
        <w:jc w:val="both"/>
        <w:rPr>
          <w:b/>
          <w:kern w:val="28"/>
          <w:sz w:val="28"/>
          <w:szCs w:val="28"/>
        </w:rPr>
      </w:pPr>
      <w:r w:rsidRPr="007B72E2">
        <w:rPr>
          <w:sz w:val="28"/>
          <w:szCs w:val="28"/>
        </w:rPr>
        <w:br w:type="page"/>
      </w:r>
      <w:r w:rsidRPr="007B72E2">
        <w:rPr>
          <w:b/>
          <w:kern w:val="28"/>
          <w:sz w:val="28"/>
          <w:szCs w:val="28"/>
        </w:rPr>
        <w:t>СПИСОК ИСПОЛЬЗОВАННЫХ ИСТОЧНИКОВ</w:t>
      </w:r>
    </w:p>
    <w:p w:rsidR="00C06EF5" w:rsidRPr="007B72E2" w:rsidRDefault="00C06EF5" w:rsidP="007B72E2">
      <w:pPr>
        <w:spacing w:line="360" w:lineRule="auto"/>
        <w:ind w:firstLine="720"/>
        <w:jc w:val="both"/>
        <w:rPr>
          <w:b/>
          <w:kern w:val="28"/>
          <w:sz w:val="28"/>
          <w:szCs w:val="28"/>
        </w:rPr>
      </w:pP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kern w:val="28"/>
          <w:sz w:val="28"/>
          <w:szCs w:val="28"/>
        </w:rPr>
      </w:pPr>
      <w:r w:rsidRPr="007B72E2">
        <w:rPr>
          <w:rFonts w:ascii="Times New Roman" w:hAnsi="Times New Roman" w:cs="Times New Roman"/>
          <w:kern w:val="28"/>
          <w:sz w:val="28"/>
          <w:szCs w:val="28"/>
        </w:rPr>
        <w:t>Василевич, Г.А. Комментарий к Трудовому кодексу Республики Беларусь / под ред. Василевича Г.А. – Минск: Амалфея,</w:t>
      </w:r>
      <w:r w:rsidR="007B72E2" w:rsidRPr="007B72E2">
        <w:rPr>
          <w:rFonts w:ascii="Times New Roman" w:hAnsi="Times New Roman" w:cs="Times New Roman"/>
          <w:kern w:val="28"/>
          <w:sz w:val="28"/>
          <w:szCs w:val="28"/>
        </w:rPr>
        <w:t xml:space="preserve"> </w:t>
      </w:r>
      <w:r w:rsidRPr="007B72E2">
        <w:rPr>
          <w:rFonts w:ascii="Times New Roman" w:hAnsi="Times New Roman" w:cs="Times New Roman"/>
          <w:kern w:val="28"/>
          <w:sz w:val="28"/>
          <w:szCs w:val="28"/>
        </w:rPr>
        <w:t>2003. – 1120 с.</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bCs/>
          <w:kern w:val="28"/>
          <w:sz w:val="28"/>
          <w:szCs w:val="28"/>
        </w:rPr>
      </w:pPr>
      <w:r w:rsidRPr="007B72E2">
        <w:rPr>
          <w:rFonts w:ascii="Times New Roman" w:hAnsi="Times New Roman" w:cs="Times New Roman"/>
          <w:kern w:val="28"/>
          <w:sz w:val="28"/>
          <w:szCs w:val="28"/>
        </w:rPr>
        <w:t>Василевич, Г.А. Трудовое право: Учебник / В.И Семенков, Г.А. Василевич Г.Б. Шишко и др.; под общ. ред. В.И. Семенкова. – 3-е изд.; перераб. и доп. – Минск: Амалфея, 2006. – 250 с.</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kern w:val="28"/>
          <w:sz w:val="28"/>
          <w:szCs w:val="28"/>
        </w:rPr>
      </w:pPr>
      <w:r w:rsidRPr="007B72E2">
        <w:rPr>
          <w:rFonts w:ascii="Times New Roman" w:hAnsi="Times New Roman" w:cs="Times New Roman"/>
          <w:kern w:val="28"/>
          <w:sz w:val="28"/>
          <w:szCs w:val="28"/>
        </w:rPr>
        <w:t>Важенкова, Т.Н. Трудовое право Республики Беларусь: Практическое пособие / Т.Н. Важенкова – Минск: УП «Молодежное», 2003.</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kern w:val="28"/>
          <w:sz w:val="28"/>
          <w:szCs w:val="28"/>
        </w:rPr>
      </w:pPr>
      <w:r w:rsidRPr="007B72E2">
        <w:rPr>
          <w:rFonts w:ascii="Times New Roman" w:hAnsi="Times New Roman" w:cs="Times New Roman"/>
          <w:kern w:val="28"/>
          <w:sz w:val="28"/>
          <w:szCs w:val="28"/>
        </w:rPr>
        <w:t>Гапоненко, В.Ф. Трудовое право / В.Ф. Гапоненко, Ф. Н. Михайлов. - М.: ЮНИТИ, 2002. – 463 с.</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iCs/>
          <w:kern w:val="28"/>
          <w:sz w:val="28"/>
          <w:szCs w:val="28"/>
        </w:rPr>
      </w:pPr>
      <w:r w:rsidRPr="007B72E2">
        <w:rPr>
          <w:rFonts w:ascii="Times New Roman" w:hAnsi="Times New Roman" w:cs="Times New Roman"/>
          <w:kern w:val="28"/>
          <w:sz w:val="28"/>
          <w:szCs w:val="28"/>
        </w:rPr>
        <w:t>Дмитрук, В.Н. Трудовое право. / Учебное пособие. – Минск: Амалфея, 2000.</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bCs/>
          <w:kern w:val="28"/>
          <w:sz w:val="28"/>
          <w:szCs w:val="28"/>
        </w:rPr>
      </w:pPr>
      <w:r w:rsidRPr="007B72E2">
        <w:rPr>
          <w:rFonts w:ascii="Times New Roman" w:hAnsi="Times New Roman" w:cs="Times New Roman"/>
          <w:kern w:val="28"/>
          <w:sz w:val="28"/>
          <w:szCs w:val="28"/>
        </w:rPr>
        <w:t>Закон Республики Беларусь от 22.04.1992 № 1605-XII «О профессиональных союзах»,</w:t>
      </w:r>
      <w:r w:rsidRPr="007B72E2">
        <w:rPr>
          <w:rFonts w:ascii="Times New Roman" w:hAnsi="Times New Roman" w:cs="Times New Roman"/>
          <w:iCs/>
          <w:kern w:val="28"/>
          <w:sz w:val="28"/>
          <w:szCs w:val="28"/>
        </w:rPr>
        <w:t xml:space="preserve"> 22 апреля </w:t>
      </w:r>
      <w:smartTag w:uri="urn:schemas-microsoft-com:office:smarttags" w:element="metricconverter">
        <w:smartTagPr>
          <w:attr w:name="ProductID" w:val="1992 г"/>
        </w:smartTagPr>
        <w:r w:rsidRPr="007B72E2">
          <w:rPr>
            <w:rFonts w:ascii="Times New Roman" w:hAnsi="Times New Roman" w:cs="Times New Roman"/>
            <w:iCs/>
            <w:kern w:val="28"/>
            <w:sz w:val="28"/>
            <w:szCs w:val="28"/>
          </w:rPr>
          <w:t>1992 г</w:t>
        </w:r>
      </w:smartTag>
      <w:r w:rsidRPr="007B72E2">
        <w:rPr>
          <w:rFonts w:ascii="Times New Roman" w:hAnsi="Times New Roman" w:cs="Times New Roman"/>
          <w:iCs/>
          <w:kern w:val="28"/>
          <w:sz w:val="28"/>
          <w:szCs w:val="28"/>
        </w:rPr>
        <w:t xml:space="preserve">. № 1605-XII (Ведомости Верховного Совета Республики Беларусь, </w:t>
      </w:r>
      <w:smartTag w:uri="urn:schemas-microsoft-com:office:smarttags" w:element="metricconverter">
        <w:smartTagPr>
          <w:attr w:name="ProductID" w:val="1992 г"/>
        </w:smartTagPr>
        <w:r w:rsidRPr="007B72E2">
          <w:rPr>
            <w:rFonts w:ascii="Times New Roman" w:hAnsi="Times New Roman" w:cs="Times New Roman"/>
            <w:iCs/>
            <w:kern w:val="28"/>
            <w:sz w:val="28"/>
            <w:szCs w:val="28"/>
          </w:rPr>
          <w:t>1992 г</w:t>
        </w:r>
      </w:smartTag>
      <w:r w:rsidRPr="007B72E2">
        <w:rPr>
          <w:rFonts w:ascii="Times New Roman" w:hAnsi="Times New Roman" w:cs="Times New Roman"/>
          <w:iCs/>
          <w:kern w:val="28"/>
          <w:sz w:val="28"/>
          <w:szCs w:val="28"/>
        </w:rPr>
        <w:t>., № 19, ст. 300).</w:t>
      </w:r>
      <w:r w:rsidRPr="007B72E2">
        <w:rPr>
          <w:rFonts w:ascii="Times New Roman" w:hAnsi="Times New Roman" w:cs="Times New Roman"/>
          <w:sz w:val="28"/>
          <w:szCs w:val="28"/>
        </w:rPr>
        <w:t xml:space="preserve"> текст закона по состоянию на 16 мая </w:t>
      </w:r>
      <w:smartTag w:uri="urn:schemas-microsoft-com:office:smarttags" w:element="metricconverter">
        <w:smartTagPr>
          <w:attr w:name="ProductID" w:val="2007 г"/>
        </w:smartTagPr>
        <w:r w:rsidRPr="007B72E2">
          <w:rPr>
            <w:rFonts w:ascii="Times New Roman" w:hAnsi="Times New Roman" w:cs="Times New Roman"/>
            <w:sz w:val="28"/>
            <w:szCs w:val="28"/>
          </w:rPr>
          <w:t>2007 г</w:t>
        </w:r>
      </w:smartTag>
      <w:r w:rsidRPr="007B72E2">
        <w:rPr>
          <w:rFonts w:ascii="Times New Roman" w:hAnsi="Times New Roman" w:cs="Times New Roman"/>
          <w:sz w:val="28"/>
          <w:szCs w:val="28"/>
        </w:rPr>
        <w:t>. // Юридич.</w:t>
      </w:r>
      <w:r w:rsidRPr="007B72E2">
        <w:rPr>
          <w:rFonts w:ascii="Times New Roman" w:hAnsi="Times New Roman" w:cs="Times New Roman"/>
          <w:kern w:val="28"/>
          <w:sz w:val="28"/>
          <w:szCs w:val="28"/>
        </w:rPr>
        <w:t xml:space="preserve"> справоч.-информ. автоматизированная система «ЮСИАС»</w:t>
      </w:r>
      <w:r w:rsidRPr="007B72E2">
        <w:rPr>
          <w:rFonts w:ascii="Times New Roman" w:hAnsi="Times New Roman" w:cs="Times New Roman"/>
          <w:sz w:val="28"/>
          <w:szCs w:val="28"/>
        </w:rPr>
        <w:t xml:space="preserve"> [Электронный ресурс] / Нац. центр правовой информ. Респ. Беларусь. – Минск, 2009.</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kern w:val="28"/>
          <w:sz w:val="28"/>
          <w:szCs w:val="28"/>
        </w:rPr>
      </w:pPr>
      <w:r w:rsidRPr="007B72E2">
        <w:rPr>
          <w:rFonts w:ascii="Times New Roman" w:hAnsi="Times New Roman" w:cs="Times New Roman"/>
          <w:sz w:val="28"/>
          <w:szCs w:val="28"/>
        </w:rPr>
        <w:t>Конституция Республики Беларусь</w:t>
      </w:r>
      <w:r w:rsidR="007B72E2" w:rsidRPr="007B72E2">
        <w:rPr>
          <w:rFonts w:ascii="Times New Roman" w:hAnsi="Times New Roman" w:cs="Times New Roman"/>
          <w:sz w:val="28"/>
          <w:szCs w:val="28"/>
        </w:rPr>
        <w:t xml:space="preserve"> </w:t>
      </w:r>
      <w:r w:rsidRPr="007B72E2">
        <w:rPr>
          <w:rFonts w:ascii="Times New Roman" w:hAnsi="Times New Roman" w:cs="Times New Roman"/>
          <w:sz w:val="28"/>
          <w:szCs w:val="28"/>
        </w:rPr>
        <w:t xml:space="preserve">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7B72E2">
          <w:rPr>
            <w:rFonts w:ascii="Times New Roman" w:hAnsi="Times New Roman" w:cs="Times New Roman"/>
            <w:sz w:val="28"/>
            <w:szCs w:val="28"/>
          </w:rPr>
          <w:t>1996 г</w:t>
        </w:r>
      </w:smartTag>
      <w:r w:rsidRPr="007B72E2">
        <w:rPr>
          <w:rFonts w:ascii="Times New Roman" w:hAnsi="Times New Roman" w:cs="Times New Roman"/>
          <w:sz w:val="28"/>
          <w:szCs w:val="28"/>
        </w:rPr>
        <w:t xml:space="preserve">. и 17 ноября </w:t>
      </w:r>
      <w:smartTag w:uri="urn:schemas-microsoft-com:office:smarttags" w:element="metricconverter">
        <w:smartTagPr>
          <w:attr w:name="ProductID" w:val="2004 г"/>
        </w:smartTagPr>
        <w:r w:rsidRPr="007B72E2">
          <w:rPr>
            <w:rFonts w:ascii="Times New Roman" w:hAnsi="Times New Roman" w:cs="Times New Roman"/>
            <w:sz w:val="28"/>
            <w:szCs w:val="28"/>
          </w:rPr>
          <w:t>2004 г</w:t>
        </w:r>
      </w:smartTag>
      <w:r w:rsidRPr="007B72E2">
        <w:rPr>
          <w:rFonts w:ascii="Times New Roman" w:hAnsi="Times New Roman" w:cs="Times New Roman"/>
          <w:sz w:val="28"/>
          <w:szCs w:val="28"/>
        </w:rPr>
        <w:t>.). – Минск: Беларусь, 2006. – 92 с.</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kern w:val="28"/>
          <w:sz w:val="28"/>
          <w:szCs w:val="28"/>
        </w:rPr>
      </w:pPr>
      <w:r w:rsidRPr="007B72E2">
        <w:rPr>
          <w:rFonts w:ascii="Times New Roman" w:hAnsi="Times New Roman" w:cs="Times New Roman"/>
          <w:kern w:val="28"/>
          <w:sz w:val="28"/>
          <w:szCs w:val="28"/>
        </w:rPr>
        <w:t>Круглов, В.А. Трудовое право Республики Беларусь: Краткое изложение курса / В.А. Круглов. – Минск: Дикта, 2004. – 75 с.</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kern w:val="28"/>
          <w:sz w:val="28"/>
          <w:szCs w:val="28"/>
        </w:rPr>
      </w:pPr>
      <w:r w:rsidRPr="007B72E2">
        <w:rPr>
          <w:rFonts w:ascii="Times New Roman" w:hAnsi="Times New Roman" w:cs="Times New Roman"/>
          <w:kern w:val="28"/>
          <w:sz w:val="28"/>
          <w:szCs w:val="28"/>
        </w:rPr>
        <w:t>Семенков, В.И. Трудовое право: Учебник / В.И. Семенков, В.Н. Артемова, Г.А. Василевич и др.; под общ. ред. Семенкова В.И. - Минск: Амалфея, 2001. - 592 с.</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kern w:val="28"/>
          <w:sz w:val="28"/>
          <w:szCs w:val="28"/>
        </w:rPr>
      </w:pPr>
      <w:r w:rsidRPr="007B72E2">
        <w:rPr>
          <w:rFonts w:ascii="Times New Roman" w:hAnsi="Times New Roman" w:cs="Times New Roman"/>
          <w:kern w:val="28"/>
          <w:sz w:val="28"/>
          <w:szCs w:val="28"/>
        </w:rPr>
        <w:t>Семенков, В.И. Трудовое право: Учебник / под общ. ред. Семенкова В.И. - Минск: Амалфея, 2002. – 672 с.</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bCs/>
          <w:kern w:val="28"/>
          <w:sz w:val="28"/>
          <w:szCs w:val="28"/>
        </w:rPr>
      </w:pPr>
      <w:r w:rsidRPr="007B72E2">
        <w:rPr>
          <w:rFonts w:ascii="Times New Roman" w:hAnsi="Times New Roman" w:cs="Times New Roman"/>
          <w:kern w:val="28"/>
          <w:sz w:val="28"/>
          <w:szCs w:val="28"/>
        </w:rPr>
        <w:t>Семенков, В.И. Трудовое и социальное право: Учебник / под ред. В.И. Семенкова. - Минск: Амалфея, 1999. – 664 с.</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kern w:val="28"/>
          <w:sz w:val="28"/>
          <w:szCs w:val="28"/>
        </w:rPr>
      </w:pPr>
      <w:r w:rsidRPr="007B72E2">
        <w:rPr>
          <w:rFonts w:ascii="Times New Roman" w:hAnsi="Times New Roman" w:cs="Times New Roman"/>
          <w:kern w:val="28"/>
          <w:sz w:val="28"/>
          <w:szCs w:val="28"/>
        </w:rPr>
        <w:t>Смирнов, О.В. Трудовое право / под ред. О.В. Смирнова. - 3-е изд., перераб. и доп. – М.: Издательская группа «Проспект», 2000. – 447 с.</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bCs/>
          <w:kern w:val="28"/>
          <w:sz w:val="28"/>
          <w:szCs w:val="28"/>
        </w:rPr>
      </w:pPr>
      <w:r w:rsidRPr="007B72E2">
        <w:rPr>
          <w:rFonts w:ascii="Times New Roman" w:hAnsi="Times New Roman" w:cs="Times New Roman"/>
          <w:kern w:val="28"/>
          <w:sz w:val="28"/>
          <w:szCs w:val="28"/>
        </w:rPr>
        <w:t xml:space="preserve">Трудовой кодекс Республики Беларусь: принят Палатой Представителей 8 июня </w:t>
      </w:r>
      <w:smartTag w:uri="urn:schemas-microsoft-com:office:smarttags" w:element="metricconverter">
        <w:smartTagPr>
          <w:attr w:name="ProductID" w:val="1999 г"/>
        </w:smartTagPr>
        <w:r w:rsidRPr="007B72E2">
          <w:rPr>
            <w:rFonts w:ascii="Times New Roman" w:hAnsi="Times New Roman" w:cs="Times New Roman"/>
            <w:kern w:val="28"/>
            <w:sz w:val="28"/>
            <w:szCs w:val="28"/>
          </w:rPr>
          <w:t>1999 г</w:t>
        </w:r>
      </w:smartTag>
      <w:r w:rsidRPr="007B72E2">
        <w:rPr>
          <w:rFonts w:ascii="Times New Roman" w:hAnsi="Times New Roman" w:cs="Times New Roman"/>
          <w:kern w:val="28"/>
          <w:sz w:val="28"/>
          <w:szCs w:val="28"/>
        </w:rPr>
        <w:t xml:space="preserve">. одобр. Советом Респ. 30 июня </w:t>
      </w:r>
      <w:smartTag w:uri="urn:schemas-microsoft-com:office:smarttags" w:element="metricconverter">
        <w:smartTagPr>
          <w:attr w:name="ProductID" w:val="1999 г"/>
        </w:smartTagPr>
        <w:r w:rsidRPr="007B72E2">
          <w:rPr>
            <w:rFonts w:ascii="Times New Roman" w:hAnsi="Times New Roman" w:cs="Times New Roman"/>
            <w:kern w:val="28"/>
            <w:sz w:val="28"/>
            <w:szCs w:val="28"/>
          </w:rPr>
          <w:t>1999 г</w:t>
        </w:r>
      </w:smartTag>
      <w:r w:rsidRPr="007B72E2">
        <w:rPr>
          <w:rFonts w:ascii="Times New Roman" w:hAnsi="Times New Roman" w:cs="Times New Roman"/>
          <w:kern w:val="28"/>
          <w:sz w:val="28"/>
          <w:szCs w:val="28"/>
        </w:rPr>
        <w:t xml:space="preserve">.: </w:t>
      </w:r>
      <w:r w:rsidRPr="007B72E2">
        <w:rPr>
          <w:rFonts w:ascii="Times New Roman" w:hAnsi="Times New Roman" w:cs="Times New Roman"/>
          <w:sz w:val="28"/>
          <w:szCs w:val="28"/>
        </w:rPr>
        <w:t xml:space="preserve">текст Кодекса по состоянию на 10 февр. </w:t>
      </w:r>
      <w:smartTag w:uri="urn:schemas-microsoft-com:office:smarttags" w:element="metricconverter">
        <w:smartTagPr>
          <w:attr w:name="ProductID" w:val="2009 г"/>
        </w:smartTagPr>
        <w:r w:rsidRPr="007B72E2">
          <w:rPr>
            <w:rFonts w:ascii="Times New Roman" w:hAnsi="Times New Roman" w:cs="Times New Roman"/>
            <w:sz w:val="28"/>
            <w:szCs w:val="28"/>
          </w:rPr>
          <w:t>2009 г</w:t>
        </w:r>
      </w:smartTag>
      <w:r w:rsidRPr="007B72E2">
        <w:rPr>
          <w:rFonts w:ascii="Times New Roman" w:hAnsi="Times New Roman" w:cs="Times New Roman"/>
          <w:sz w:val="28"/>
          <w:szCs w:val="28"/>
        </w:rPr>
        <w:t>. // Юридич.</w:t>
      </w:r>
      <w:r w:rsidRPr="007B72E2">
        <w:rPr>
          <w:rFonts w:ascii="Times New Roman" w:hAnsi="Times New Roman" w:cs="Times New Roman"/>
          <w:kern w:val="28"/>
          <w:sz w:val="28"/>
          <w:szCs w:val="28"/>
        </w:rPr>
        <w:t xml:space="preserve"> справоч.-информ. автоматизированная система «ЮСИАС»</w:t>
      </w:r>
      <w:r w:rsidRPr="007B72E2">
        <w:rPr>
          <w:rFonts w:ascii="Times New Roman" w:hAnsi="Times New Roman" w:cs="Times New Roman"/>
          <w:sz w:val="28"/>
          <w:szCs w:val="28"/>
        </w:rPr>
        <w:t xml:space="preserve"> [Электронный ресурс] / Нац. центр правовой информ. Респ. Беларусь. – Минск, 2009.</w:t>
      </w:r>
    </w:p>
    <w:p w:rsidR="00C06EF5" w:rsidRPr="007B72E2" w:rsidRDefault="00C06EF5" w:rsidP="007B72E2">
      <w:pPr>
        <w:pStyle w:val="HTML"/>
        <w:numPr>
          <w:ilvl w:val="0"/>
          <w:numId w:val="2"/>
        </w:numPr>
        <w:tabs>
          <w:tab w:val="clear" w:pos="720"/>
          <w:tab w:val="num" w:pos="360"/>
        </w:tabs>
        <w:spacing w:line="360" w:lineRule="auto"/>
        <w:ind w:left="0" w:firstLine="0"/>
        <w:jc w:val="both"/>
        <w:rPr>
          <w:rFonts w:ascii="Times New Roman" w:hAnsi="Times New Roman" w:cs="Times New Roman"/>
          <w:bCs/>
          <w:kern w:val="28"/>
          <w:sz w:val="28"/>
          <w:szCs w:val="28"/>
        </w:rPr>
      </w:pPr>
      <w:r w:rsidRPr="007B72E2">
        <w:rPr>
          <w:rFonts w:ascii="Times New Roman" w:hAnsi="Times New Roman" w:cs="Times New Roman"/>
          <w:kern w:val="28"/>
          <w:sz w:val="28"/>
          <w:szCs w:val="28"/>
        </w:rPr>
        <w:t xml:space="preserve">Указ Президента Республики Беларусь «О республиканском трудовом арбитраже» от 29 июня 1999 года №348. </w:t>
      </w:r>
      <w:r w:rsidRPr="007B72E2">
        <w:rPr>
          <w:rFonts w:ascii="Times New Roman" w:hAnsi="Times New Roman" w:cs="Times New Roman"/>
          <w:iCs/>
          <w:kern w:val="28"/>
          <w:sz w:val="28"/>
          <w:szCs w:val="28"/>
        </w:rPr>
        <w:t xml:space="preserve">(Национальный реестр правовых актов Республики Беларусь 14.07.1999, № 51, рег. № 1/455 от 01.07.1999): </w:t>
      </w:r>
      <w:r w:rsidRPr="007B72E2">
        <w:rPr>
          <w:rFonts w:ascii="Times New Roman" w:hAnsi="Times New Roman" w:cs="Times New Roman"/>
          <w:sz w:val="28"/>
          <w:szCs w:val="28"/>
        </w:rPr>
        <w:t xml:space="preserve">текст указа по состоянию на 5 ноябр. </w:t>
      </w:r>
      <w:smartTag w:uri="urn:schemas-microsoft-com:office:smarttags" w:element="metricconverter">
        <w:smartTagPr>
          <w:attr w:name="ProductID" w:val="2004 г"/>
        </w:smartTagPr>
        <w:r w:rsidRPr="007B72E2">
          <w:rPr>
            <w:rFonts w:ascii="Times New Roman" w:hAnsi="Times New Roman" w:cs="Times New Roman"/>
            <w:sz w:val="28"/>
            <w:szCs w:val="28"/>
          </w:rPr>
          <w:t>2004 г</w:t>
        </w:r>
      </w:smartTag>
      <w:r w:rsidRPr="007B72E2">
        <w:rPr>
          <w:rFonts w:ascii="Times New Roman" w:hAnsi="Times New Roman" w:cs="Times New Roman"/>
          <w:sz w:val="28"/>
          <w:szCs w:val="28"/>
        </w:rPr>
        <w:t>. // Юридич.</w:t>
      </w:r>
      <w:r w:rsidRPr="007B72E2">
        <w:rPr>
          <w:rFonts w:ascii="Times New Roman" w:hAnsi="Times New Roman" w:cs="Times New Roman"/>
          <w:kern w:val="28"/>
          <w:sz w:val="28"/>
          <w:szCs w:val="28"/>
        </w:rPr>
        <w:t xml:space="preserve"> справоч.-информ. автоматизированная система «ЮСИАС»</w:t>
      </w:r>
      <w:r w:rsidRPr="007B72E2">
        <w:rPr>
          <w:rFonts w:ascii="Times New Roman" w:hAnsi="Times New Roman" w:cs="Times New Roman"/>
          <w:sz w:val="28"/>
          <w:szCs w:val="28"/>
        </w:rPr>
        <w:t xml:space="preserve"> [Электронный ресурс] / Нац. центр правовой информ. Респ. Беларусь. – Минск, 2009.</w:t>
      </w:r>
      <w:bookmarkStart w:id="0" w:name="_GoBack"/>
      <w:bookmarkEnd w:id="0"/>
    </w:p>
    <w:sectPr w:rsidR="00C06EF5" w:rsidRPr="007B72E2" w:rsidSect="007B72E2">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01" w:rsidRDefault="006F3C01">
      <w:r>
        <w:separator/>
      </w:r>
    </w:p>
  </w:endnote>
  <w:endnote w:type="continuationSeparator" w:id="0">
    <w:p w:rsidR="006F3C01" w:rsidRDefault="006F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01" w:rsidRDefault="006F3C01">
      <w:r>
        <w:separator/>
      </w:r>
    </w:p>
  </w:footnote>
  <w:footnote w:type="continuationSeparator" w:id="0">
    <w:p w:rsidR="006F3C01" w:rsidRDefault="006F3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1E6BE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02AD8" w:rsidRDefault="00302AD8"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168AB"/>
    <w:multiLevelType w:val="hybridMultilevel"/>
    <w:tmpl w:val="D77428C0"/>
    <w:lvl w:ilvl="0" w:tplc="CAE431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E09319E"/>
    <w:multiLevelType w:val="multilevel"/>
    <w:tmpl w:val="0CFE145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07553A"/>
    <w:rsid w:val="001E6BEE"/>
    <w:rsid w:val="00302AD8"/>
    <w:rsid w:val="004611C4"/>
    <w:rsid w:val="00462357"/>
    <w:rsid w:val="004749B6"/>
    <w:rsid w:val="005B4019"/>
    <w:rsid w:val="006F3C01"/>
    <w:rsid w:val="007B72E2"/>
    <w:rsid w:val="00AD3425"/>
    <w:rsid w:val="00C0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689644-933D-4CC6-A34E-A29278DD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E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rPr>
      <w:rFonts w:cs="Times New Roman"/>
    </w:rPr>
  </w:style>
  <w:style w:type="paragraph" w:styleId="HTML">
    <w:name w:val="HTML Preformatted"/>
    <w:basedOn w:val="a"/>
    <w:link w:val="HTML0"/>
    <w:uiPriority w:val="99"/>
    <w:rsid w:val="00C0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footer"/>
    <w:basedOn w:val="a"/>
    <w:link w:val="a8"/>
    <w:uiPriority w:val="99"/>
    <w:rsid w:val="007B72E2"/>
    <w:pPr>
      <w:tabs>
        <w:tab w:val="center" w:pos="4677"/>
        <w:tab w:val="right" w:pos="9355"/>
      </w:tabs>
    </w:pPr>
  </w:style>
  <w:style w:type="character" w:customStyle="1" w:styleId="a8">
    <w:name w:val="Нижний колонтитул Знак"/>
    <w:link w:val="a7"/>
    <w:uiPriority w:val="99"/>
    <w:locked/>
    <w:rsid w:val="007B72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УВОЛЬНЕНИЕ РАБОТНИКА С ЦЕЛЬЮ НЕДОПУЩЕНИЯ КОРРУП-ЦИИ</vt:lpstr>
    </vt:vector>
  </TitlesOfParts>
  <Company>Microsoft</Company>
  <LinksUpToDate>false</LinksUpToDate>
  <CharactersWithSpaces>24246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УВОЛЬНЕНИЕ РАБОТНИКА С ЦЕЛЬЮ НЕДОПУЩЕНИЯ КОРРУП-ЦИИ</dc:title>
  <dc:subject/>
  <dc:creator>Admin</dc:creator>
  <cp:keywords/>
  <dc:description/>
  <cp:lastModifiedBy>admin</cp:lastModifiedBy>
  <cp:revision>2</cp:revision>
  <dcterms:created xsi:type="dcterms:W3CDTF">2014-04-19T10:25:00Z</dcterms:created>
  <dcterms:modified xsi:type="dcterms:W3CDTF">2014-04-19T10:25:00Z</dcterms:modified>
</cp:coreProperties>
</file>