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C5" w:rsidRDefault="00B711B4">
      <w:pPr>
        <w:jc w:val="center"/>
        <w:rPr>
          <w:sz w:val="22"/>
        </w:rPr>
      </w:pPr>
      <w:r>
        <w:rPr>
          <w:sz w:val="22"/>
        </w:rPr>
        <w:t>Ответы на вопросы</w:t>
      </w:r>
    </w:p>
    <w:p w:rsidR="00A305C5" w:rsidRDefault="00A305C5">
      <w:pPr>
        <w:ind w:left="150"/>
        <w:rPr>
          <w:sz w:val="22"/>
        </w:rPr>
      </w:pPr>
    </w:p>
    <w:p w:rsidR="00A305C5" w:rsidRDefault="00B711B4">
      <w:pPr>
        <w:ind w:left="150"/>
        <w:rPr>
          <w:sz w:val="22"/>
        </w:rPr>
      </w:pPr>
      <w:r>
        <w:rPr>
          <w:sz w:val="22"/>
        </w:rPr>
        <w:t>1.    Какое имущество имеет право истребовать лицо , объявленное в судебном порядке умершим , в случае своей явки ?</w:t>
      </w: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</w:t>
      </w:r>
    </w:p>
    <w:p w:rsidR="00A305C5" w:rsidRDefault="00A305C5">
      <w:pPr>
        <w:ind w:left="150"/>
        <w:rPr>
          <w:sz w:val="22"/>
        </w:rPr>
      </w:pP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Решение суда об объявлении лица умершим строится на презумкции смерти , поэтому возможно , что гражданин объявленный умершим , окажется в живых . Закон определяет последствия явки такого гражданина или обнаружения места его пребывания .</w:t>
      </w: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Согласно ст. 46 ч.2 Гражданского кодекса Р.Ф. 1994 г. , лицо объявленное в судебном порядке  умершим , в случае своей явки имеет право , требовать от любого лица возврата имущества ( сохранившегося ) , которое безвозмездно перешло к этому лицу после объявления гражданина умершим ( например , по наследсву , по договору дарения  и т.д. ) за исключением случаев предусмотренных п.3 ст. 302 ГК РФ т.е. денег и ценных бумаг на предъявителя – при условии , что приобретатель был добросовестным ( не знал и не мог знать , что лицо объявленное умершим , находится в живых ) . Лицо ( лица ) , к которым имущество гражданина , перешло по возмездным сделкам обязаны возвратить ему это имущество лишь в случае , если будет доказано , что приобретая имущество они знали , что гражданин , объявленный умершим , находится в живых ; при невозможности возврата такого имущества в натуре – возмещается его стоимость . </w:t>
      </w: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Таким образом , возврат имущества гражданину , объявленному умершим , происходит не во всех случаях и зависит от того , как оно перешло к приобретателю – возмездно или безвозмездно , и от его сохранности . </w:t>
      </w:r>
    </w:p>
    <w:p w:rsidR="00A305C5" w:rsidRDefault="00A305C5">
      <w:pPr>
        <w:ind w:left="150"/>
        <w:rPr>
          <w:sz w:val="22"/>
        </w:rPr>
      </w:pPr>
    </w:p>
    <w:p w:rsidR="00A305C5" w:rsidRDefault="00B711B4">
      <w:pPr>
        <w:ind w:left="150"/>
        <w:rPr>
          <w:sz w:val="22"/>
        </w:rPr>
      </w:pPr>
      <w:r>
        <w:rPr>
          <w:sz w:val="22"/>
        </w:rPr>
        <w:t>2.   В чём заключаются гарантии прав кредиторов юридического лица при его реорганизации ?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     </w:t>
      </w: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Согласно ст. 60 ГК РФ учредители ( участники ) юридического лица или организации , принявшие решение о реорганизации юридического лица обязаны письменно уведомить об этом кредиторов реорганизуемого юридического лица . 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После такого уведомления кредитор имеет две возможности ( п.2 п.3 ст.60 ГК РФ ) либо потребовать прекращения или досрочного исполнения обязательства и возмещения убытков , либо адресовать свои требования уже к правоприемнику , согласившись с заменой должника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В зависимости от форы реорганизации обязанности реорганизованного юридического лица переходит к ( ст. 58 ГК РФ ) :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вновь возникшему юридическому лицу , при слиянии юридических лиц ;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к юридическому лицу к которому присоединяется должник , при присоединении юридического лица ;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к вновь возникшим юридическим лицам , согласно раздельного баланса , при разделении юридического лица ;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при выделении из состава юридического лица одного или нескольких юридических лиц , к каждому из них переходят обязанности реорганизованного юридического лица в соответствии с разделительным балансом ;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к вновь возникшему юридическому лицу реорганизованного юридического лица , при преобразовании последнего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Согласно п.3 ст.60 ГК РФ – если разделительный баланс не даёт возможности определить правоприемника  реорганизованного юридического лица то вновь возникшие юридические лица несут солидарную ответственность по обязательства реорганизованного юридического лица перед его кредиторами ,что означает , что кредитор в праве потребовать обязанности как от всех  должников так и от любого из них в отдельности , притом как полностью , так и в части долга (ст. 323 ГК РФ ).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Что такое бремя содержания имущества  ?</w:t>
      </w:r>
    </w:p>
    <w:p w:rsidR="00A305C5" w:rsidRDefault="00A305C5">
      <w:pPr>
        <w:ind w:left="150"/>
        <w:rPr>
          <w:sz w:val="22"/>
        </w:rPr>
      </w:pPr>
    </w:p>
    <w:p w:rsidR="00A305C5" w:rsidRDefault="00A305C5">
      <w:pPr>
        <w:ind w:left="150"/>
        <w:rPr>
          <w:sz w:val="22"/>
        </w:rPr>
      </w:pP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Согласно ст. 210 ГК РФ собственник несёт бремя содержания принадлежащего ему имущества , если иное не предусмотрено законом или договором .</w:t>
      </w: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По общему учению о праве собственности в гражданском обществе собственность – это не только благо но и бремя . Именно собственник несёт бремя финансовых расходов по поддержанию принадлежащего ему имущества в надлежащем состоянии , использованию по его прямому назначению , страхованию , охране .</w:t>
      </w: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Если собственник сам реализует все свои правомочия по отношению к имуществу , то он несёт бремя его содержания сам , но в случаях предусмотренных законом и договором бремя содержания имущества может распределяться между собственником и другими субъектами производных вещных прав ( например в договоре аренды собственник и орендатор могут предусмотреть обязанность по произведению капитального ремонта для орендатора , хотя по общему правилу обязанность подержания имущества в надлежащем состоянии лежит на собственнике ) .</w:t>
      </w: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Кроме того бремя содержания имущества включает в себя и уплату налогов ( например налог на имущество ) , которые обязан уплачивать собственник и не кто другой . </w:t>
      </w:r>
    </w:p>
    <w:p w:rsidR="00A305C5" w:rsidRDefault="00A305C5">
      <w:pPr>
        <w:ind w:left="150"/>
        <w:rPr>
          <w:sz w:val="22"/>
        </w:rPr>
      </w:pPr>
    </w:p>
    <w:p w:rsidR="00A305C5" w:rsidRDefault="00A305C5">
      <w:pPr>
        <w:ind w:left="150"/>
        <w:rPr>
          <w:sz w:val="22"/>
        </w:rPr>
      </w:pPr>
    </w:p>
    <w:p w:rsidR="00A305C5" w:rsidRDefault="00B711B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Что такое  двусторонняя реституция  ?</w:t>
      </w:r>
    </w:p>
    <w:p w:rsidR="00A305C5" w:rsidRDefault="00A305C5">
      <w:pPr>
        <w:ind w:left="150"/>
        <w:rPr>
          <w:sz w:val="22"/>
        </w:rPr>
      </w:pPr>
    </w:p>
    <w:p w:rsidR="00A305C5" w:rsidRDefault="00A305C5">
      <w:pPr>
        <w:ind w:left="150"/>
        <w:rPr>
          <w:sz w:val="22"/>
        </w:rPr>
      </w:pPr>
    </w:p>
    <w:p w:rsidR="00A305C5" w:rsidRDefault="00B711B4">
      <w:pPr>
        <w:ind w:left="150"/>
        <w:rPr>
          <w:sz w:val="22"/>
        </w:rPr>
      </w:pPr>
      <w:r>
        <w:rPr>
          <w:sz w:val="22"/>
        </w:rPr>
        <w:t xml:space="preserve">   Реституция от латинского слова  </w:t>
      </w:r>
      <w:r>
        <w:rPr>
          <w:b/>
          <w:sz w:val="22"/>
          <w:lang w:val="en-US"/>
        </w:rPr>
        <w:t>restitutio</w:t>
      </w:r>
      <w:r>
        <w:rPr>
          <w:sz w:val="22"/>
        </w:rPr>
        <w:t xml:space="preserve"> </w:t>
      </w:r>
      <w:r>
        <w:rPr>
          <w:sz w:val="22"/>
          <w:lang w:val="en-US"/>
        </w:rPr>
        <w:t xml:space="preserve">- </w:t>
      </w:r>
      <w:r>
        <w:rPr>
          <w:sz w:val="22"/>
        </w:rPr>
        <w:t xml:space="preserve"> восстановление .</w:t>
      </w:r>
    </w:p>
    <w:p w:rsidR="00A305C5" w:rsidRDefault="00B711B4">
      <w:pPr>
        <w:ind w:left="90"/>
        <w:rPr>
          <w:sz w:val="22"/>
        </w:rPr>
      </w:pPr>
      <w:r>
        <w:rPr>
          <w:sz w:val="22"/>
        </w:rPr>
        <w:t xml:space="preserve"> - это возвращение полученного по договору одной другой стороне в случае признания договора не действительным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 Двусторонняя же реституция  - это обязанность каждой из сторон вернуть другой стороне всё полученное по сделке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В гражданском кодексе такая обязанность предусмотрена ст. 167 ч.2  . Эта же статья предусматривает возможность возместить стоимость имущества и т.д. в деньгах , если   отсутствует возможность полученное в натуре , в том числе и тогда , когда полученное выражается и в пользовании имуществом , выполненой работе и предоставленной услуге . Такие последствия недействительности сделки имеют место , если законом не предусмотрены . И кроме того применяются как к оспоримым сделкам так и к ничтожным . 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>5 .   Назовите наследников первой очереди по закону ?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  Согласно ст. 532 ГК РСФСР 1964 г. наследниками первой очереди по закону являются : 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дети , в том числе и усыновлённые ;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супруг ;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родители , в том числе и усыновители ;</w:t>
      </w:r>
    </w:p>
    <w:p w:rsidR="00A305C5" w:rsidRDefault="00B711B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ребёнок умершего родившийся после его смерти .</w:t>
      </w:r>
    </w:p>
    <w:p w:rsidR="00A305C5" w:rsidRDefault="00B711B4">
      <w:pPr>
        <w:ind w:left="90"/>
        <w:rPr>
          <w:sz w:val="22"/>
        </w:rPr>
      </w:pPr>
      <w:r>
        <w:rPr>
          <w:sz w:val="22"/>
        </w:rPr>
        <w:t xml:space="preserve">   Кроме того к числу наследников относятся нетрудоспособные лица , состоящие на иждивении умершего не менее года до его смерти , при наличии других наследников они последуют на ровне с наследниками той очереди которая призывается к наследованию т.е. если у умершего помимо иждивенцев будут и наследники первой очереди , то иждивенцы будут наследовать на ряду с наследниками первой очереди .</w:t>
      </w:r>
    </w:p>
    <w:p w:rsidR="00A305C5" w:rsidRDefault="00A305C5">
      <w:pPr>
        <w:ind w:left="90"/>
        <w:rPr>
          <w:sz w:val="22"/>
        </w:rPr>
      </w:pPr>
    </w:p>
    <w:p w:rsidR="00A305C5" w:rsidRDefault="00A305C5">
      <w:pPr>
        <w:ind w:left="90"/>
        <w:rPr>
          <w:sz w:val="22"/>
        </w:rPr>
      </w:pPr>
    </w:p>
    <w:p w:rsidR="00A305C5" w:rsidRDefault="00A305C5">
      <w:pPr>
        <w:ind w:left="90"/>
        <w:rPr>
          <w:sz w:val="22"/>
        </w:rPr>
      </w:pPr>
    </w:p>
    <w:p w:rsidR="00A305C5" w:rsidRDefault="00A305C5">
      <w:pPr>
        <w:ind w:left="90"/>
        <w:rPr>
          <w:sz w:val="22"/>
        </w:rPr>
      </w:pPr>
    </w:p>
    <w:p w:rsidR="00A305C5" w:rsidRDefault="00B711B4">
      <w:pPr>
        <w:ind w:left="90"/>
        <w:rPr>
          <w:sz w:val="22"/>
        </w:rPr>
      </w:pPr>
      <w:r>
        <w:rPr>
          <w:sz w:val="22"/>
        </w:rPr>
        <w:t xml:space="preserve">6 .   В каких случаях допускается одностороннее расторжение договора ?  </w:t>
      </w:r>
    </w:p>
    <w:p w:rsidR="00A305C5" w:rsidRDefault="00A305C5">
      <w:pPr>
        <w:ind w:left="90"/>
        <w:rPr>
          <w:sz w:val="22"/>
        </w:rPr>
      </w:pPr>
    </w:p>
    <w:p w:rsidR="00A305C5" w:rsidRDefault="00A305C5">
      <w:pPr>
        <w:ind w:left="90"/>
        <w:rPr>
          <w:sz w:val="22"/>
        </w:rPr>
      </w:pPr>
    </w:p>
    <w:p w:rsidR="00A305C5" w:rsidRDefault="00B711B4">
      <w:pPr>
        <w:ind w:left="90"/>
        <w:rPr>
          <w:sz w:val="22"/>
        </w:rPr>
      </w:pPr>
      <w:r>
        <w:rPr>
          <w:sz w:val="22"/>
        </w:rPr>
        <w:t xml:space="preserve">   Согласно ст. 450 ч. 1  ГК РФ одностороннее расторжение договора допускается в случаях :</w:t>
      </w:r>
    </w:p>
    <w:p w:rsidR="00A305C5" w:rsidRDefault="00B711B4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по соглашению сторон ;</w:t>
      </w:r>
    </w:p>
    <w:p w:rsidR="00A305C5" w:rsidRDefault="00B711B4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если такая возможность предусмотрена договором ;</w:t>
      </w:r>
    </w:p>
    <w:p w:rsidR="00A305C5" w:rsidRDefault="00B711B4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по решению суда по заявлению одной из сторон :</w:t>
      </w:r>
    </w:p>
    <w:p w:rsidR="00A305C5" w:rsidRDefault="00B711B4">
      <w:pPr>
        <w:pStyle w:val="a3"/>
        <w:rPr>
          <w:sz w:val="22"/>
        </w:rPr>
      </w:pPr>
      <w:r>
        <w:rPr>
          <w:sz w:val="22"/>
        </w:rPr>
        <w:t xml:space="preserve">         а)   при существенном нарушении договора другой стороной т.е. такого ущерба в                      результате которого сторона в значительной степени лишается того , на что была в праве рассчитывать при заключении договора ;</w:t>
      </w:r>
    </w:p>
    <w:p w:rsidR="00A305C5" w:rsidRDefault="00B711B4">
      <w:pPr>
        <w:ind w:left="142"/>
        <w:rPr>
          <w:sz w:val="22"/>
        </w:rPr>
      </w:pPr>
      <w:r>
        <w:rPr>
          <w:sz w:val="22"/>
        </w:rPr>
        <w:t xml:space="preserve">         б)   в иных случаях , предусмотренных кодексом , законами или договором , например        п.2 ст.428  где говорится , что присоединившаяся к договору сторона в праве требовать расторжения договора присоединения , если он не противоречит закону , но явно лишает эту сторону прав , обычно предоставленных договорами такого вида , содержит явно обременительные условия , которые она не приняла бы при наличии у ней возможности участвовать в определении условий договора . </w:t>
      </w:r>
    </w:p>
    <w:p w:rsidR="00A305C5" w:rsidRDefault="00B711B4">
      <w:pPr>
        <w:ind w:left="142"/>
        <w:rPr>
          <w:sz w:val="22"/>
        </w:rPr>
      </w:pPr>
      <w:r>
        <w:rPr>
          <w:sz w:val="22"/>
        </w:rPr>
        <w:t xml:space="preserve">   Или , согласно ст. 573 одаряемый вправе в любое время до передачи ему дара от него отказаться , в том случае договор дарения считается расторгнутым . </w:t>
      </w:r>
    </w:p>
    <w:p w:rsidR="00A305C5" w:rsidRDefault="00B711B4">
      <w:pPr>
        <w:ind w:left="142"/>
        <w:rPr>
          <w:sz w:val="22"/>
        </w:rPr>
      </w:pPr>
      <w:r>
        <w:rPr>
          <w:sz w:val="22"/>
        </w:rPr>
        <w:t xml:space="preserve">   Ст. 619 по требованию арендодателя договор аренды может быть расторгнут досрочно если :</w:t>
      </w:r>
    </w:p>
    <w:p w:rsidR="00A305C5" w:rsidRDefault="00B711B4">
      <w:pPr>
        <w:pStyle w:val="a3"/>
        <w:rPr>
          <w:sz w:val="22"/>
        </w:rPr>
      </w:pPr>
      <w:r>
        <w:rPr>
          <w:sz w:val="22"/>
        </w:rPr>
        <w:t xml:space="preserve">Арендатор  1)   пользуется имуществом с существенным нарушением условий договора или                          назначения имущества ;                                                                                                                                             </w:t>
      </w:r>
    </w:p>
    <w:p w:rsidR="00A305C5" w:rsidRDefault="00B711B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существенно ухудшает имущество ;</w:t>
      </w:r>
    </w:p>
    <w:p w:rsidR="00A305C5" w:rsidRDefault="00B711B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более двух раз подряд по истечении установленного в договоре срока платежа не вносит арендную плату ;</w:t>
      </w:r>
    </w:p>
    <w:p w:rsidR="00A305C5" w:rsidRDefault="00B711B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не производит капитального ремонта имущества в установленные договором сроки .</w:t>
      </w: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     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>Задачи :</w:t>
      </w:r>
    </w:p>
    <w:p w:rsidR="00A305C5" w:rsidRDefault="00A305C5">
      <w:pPr>
        <w:rPr>
          <w:sz w:val="22"/>
        </w:rPr>
      </w:pPr>
    </w:p>
    <w:p w:rsidR="00A305C5" w:rsidRDefault="00B711B4">
      <w:pPr>
        <w:jc w:val="center"/>
        <w:rPr>
          <w:sz w:val="22"/>
        </w:rPr>
      </w:pPr>
      <w:r>
        <w:rPr>
          <w:sz w:val="22"/>
        </w:rPr>
        <w:t>№ 1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</w:t>
      </w: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 Согласно ст. 298 ч. 2 спор возникший между учреждением и комитетом управлению государственным имуществом , должен быть решён в пользу учреждения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Поскольку речь идёт об имуществе которое приобретено учреждением в результате осуществления приносящей доходы деятельности , а не имуществе переданное собственником (комитетом) на праве оперативного управления . В соответствии с указанной статьёй , если учреждению в соответствии с учредительными документами представлено право осуществлять приносящую доходы деятельность , то доходы , полученные от такой деятельности и приобретённое за счёт таких доходов имущество поступают в самостоятельное распоряжение учреждения . В данном случае мы именно такую ситуацию , и доводы комитета  о том , что учреждению не предоставлено право самостоятельно распоряжаться имуществом (недвижимым) по каким бы основаниям оно не было приобретено неверны . Комитет может выиграть спор лишь в том случае , если учреждению не было предоставлено право заниматься приносящей доходы деятельностью , тогда договор о передаче квартир в собственность работников может быть признан не действительным согласно ст. 173 ГК РФ .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jc w:val="center"/>
        <w:rPr>
          <w:sz w:val="22"/>
        </w:rPr>
      </w:pPr>
      <w:r>
        <w:rPr>
          <w:sz w:val="22"/>
        </w:rPr>
        <w:t>№ 2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>После смерти Зазули действительно наследниками будут являться и мать и жена ( ст. 532 ГК  РСФСР ) , согласно ст. 244 ч. 4  автомобиль будет являться общей долевой собственностью матери и жены : «общая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...»- в нашем случае это автомобиль . Автомобиль будет являться долевой собственностью в силу ст.244 ч. 3 , поскольку о совместной собственности речь идти не может в силу закона . В соответствии со ст. 252 ГК РФ имущество , находящееся в долевой собственности , может быть разделено между её участниками , в нашем случае этот раздел произошёл в судебном порядке согласно ст.252 ч. 3   ГК РФ и матери была выплачена компенсация (п.2 ч.3 ст. 252 ГК РФ ) . В соответствии со ст. 252 ч.5 ГК РФ – с получением компенсации в соответствии с настоящей статьёй ( п.2 ч.3 ст.252 ГК РФ – в нашем случае ) собственник утрачивает право на долю в общем имуществе . Таким образом правило о пере имущественном праве покупки ст. 250 ГК РФ на мать уже не распространяется , т.к. после выплаты ей компенсации единым собствеником автомашины является Андрианова . Следователь иск в суд матери о признании договора купли-продажи не действительным не имеет под собой основания . И дело решится в пользу Андреановой .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jc w:val="center"/>
        <w:rPr>
          <w:sz w:val="22"/>
        </w:rPr>
      </w:pPr>
      <w:r>
        <w:rPr>
          <w:sz w:val="22"/>
        </w:rPr>
        <w:t>№ 3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 Данное дело должно быть решено в пользу Ковалёвой , т.е. собственника похищенной шубы . Ломбард в любом случае обязан вернуть шубу её законному владельцу , даже если принять во внимание доводы , что он не может проверить факт принадлежность вещи гражданину сдающую её в ломбард , поскольку в соответствии со ст.302 ч.1  ГК РФ « если имущество   возмездно  приобретено у лица , которое не имело права его отчуждать , о чём приобретатель не знал и не мог знать , то собственник вправе истребовать это имущество от приобретателя в случае когда имущество .... похищено у собственника ....»  В данном деле именно этот факт имеет место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Кроме того ломбард действительно несёт убытки в размере выданной ссуды , поскольку в соответствии со ст. 303 п.2  собственник должен возместить расходы и владельцу ( ломбарда), но произведённые только с того момента когда ломбард узнал о неправоме6рности своего владения , ссуда же была выдана ранее , значит возмещению не подлежит .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jc w:val="center"/>
        <w:rPr>
          <w:sz w:val="22"/>
        </w:rPr>
      </w:pPr>
      <w:r>
        <w:rPr>
          <w:sz w:val="22"/>
        </w:rPr>
        <w:t>№ 4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 Юрист дал Попову неправильный совет . Согласно со ст. 232 ГК РФ , лицо , вернувшее собственнику безнадзорное домашнее животное , вправе требовать от него не только возмещение затрат , связанных с одержанием животного , но и вознаграждение за находку, в ст.229 ГК РФ определён даже его размер – 20 % стоимости или этот вопрос урегулируется по согласию сторон . Поэтому отец Юли может настаивать на выплате ему вознаграждения за находку  « Кузи » .   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A305C5">
      <w:pPr>
        <w:jc w:val="center"/>
        <w:rPr>
          <w:sz w:val="22"/>
        </w:rPr>
      </w:pPr>
    </w:p>
    <w:p w:rsidR="00A305C5" w:rsidRDefault="00A305C5">
      <w:pPr>
        <w:jc w:val="center"/>
        <w:rPr>
          <w:sz w:val="22"/>
        </w:rPr>
      </w:pPr>
    </w:p>
    <w:p w:rsidR="00A305C5" w:rsidRDefault="00A305C5">
      <w:pPr>
        <w:jc w:val="center"/>
        <w:rPr>
          <w:sz w:val="22"/>
        </w:rPr>
      </w:pPr>
    </w:p>
    <w:p w:rsidR="00A305C5" w:rsidRDefault="00B711B4">
      <w:pPr>
        <w:jc w:val="center"/>
        <w:rPr>
          <w:sz w:val="22"/>
        </w:rPr>
      </w:pPr>
      <w:r>
        <w:rPr>
          <w:sz w:val="22"/>
        </w:rPr>
        <w:t>№5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 Согласно ст. 315 досрочное исполнению обязательств возможно по согласию сторон , поскольку завод подъёмно – транспортного оборудования данного согласия со стороны порта не получил , то речь здесь может идти о ненадлежащем исполнении обязательства , что позволяет применить положения ст. 330 о неустойке (штрафе) . Но поскольку уплата штрафа за досрочную поставку не предусмотрена , то порт в праве требовать взыскания штрафа если это предусмотрено в договоре . 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Кроме того согласно ст. 508 ГК РФ 1994 г. ч. 3 товары , поставляемые досрочно и принятые покупателем зачитываются в счёт товаров подлежащих поставке в следующем периоде . В нашем случае поставщик принял товар ( кран ) и преступил к его монтажу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Защитить свои интересы порт мог следующим образом , по обычаям делового оборота , при досрочной поставке , покупатель может принять товары на ответственное хранение до наступления срока поставки , а согласно ст. 514 затем потребовать с поставщика возмещения понесённых им расходов .</w:t>
      </w:r>
    </w:p>
    <w:p w:rsidR="00A305C5" w:rsidRDefault="00B711B4">
      <w:pPr>
        <w:rPr>
          <w:sz w:val="22"/>
        </w:rPr>
      </w:pPr>
      <w:r>
        <w:rPr>
          <w:sz w:val="22"/>
        </w:rPr>
        <w:t xml:space="preserve">   Т.о. если штраф за досрочную поставку не был предусмотрен договором , то иск порта удовлетворению не подлежит , поскольку покупатель принял товар .</w:t>
      </w:r>
    </w:p>
    <w:p w:rsidR="00A305C5" w:rsidRDefault="00A305C5">
      <w:pPr>
        <w:rPr>
          <w:sz w:val="22"/>
        </w:rPr>
      </w:pPr>
    </w:p>
    <w:p w:rsidR="00A305C5" w:rsidRDefault="00A305C5">
      <w:pPr>
        <w:rPr>
          <w:sz w:val="22"/>
        </w:rPr>
      </w:pPr>
    </w:p>
    <w:p w:rsidR="00A305C5" w:rsidRDefault="00B711B4">
      <w:pPr>
        <w:jc w:val="center"/>
        <w:rPr>
          <w:sz w:val="22"/>
        </w:rPr>
      </w:pPr>
      <w:r>
        <w:rPr>
          <w:sz w:val="22"/>
        </w:rPr>
        <w:t>№6</w:t>
      </w:r>
    </w:p>
    <w:p w:rsidR="00A305C5" w:rsidRDefault="00A305C5">
      <w:pPr>
        <w:jc w:val="center"/>
        <w:rPr>
          <w:sz w:val="22"/>
        </w:rPr>
      </w:pPr>
    </w:p>
    <w:p w:rsidR="00A305C5" w:rsidRDefault="00A305C5">
      <w:pPr>
        <w:jc w:val="center"/>
        <w:rPr>
          <w:sz w:val="22"/>
        </w:rPr>
      </w:pPr>
    </w:p>
    <w:p w:rsidR="00A305C5" w:rsidRDefault="00B711B4">
      <w:pPr>
        <w:rPr>
          <w:sz w:val="22"/>
        </w:rPr>
      </w:pPr>
      <w:r>
        <w:rPr>
          <w:sz w:val="22"/>
        </w:rPr>
        <w:t xml:space="preserve">   Прокофьев (продавец) обоснованно предъявил иск к Тихоновой , но с требованиями о возрате долга нужно было обратиться и ко второму поручителю – Тугиевой , т.к. в договоре поручитель Тихонова оговорила , что ручается за возврат половины долга , то же сделала и Тулиева , следовательно ст. 363 , которая указывает , что лица совместно давшие поручительство , отвечают перед кредитором солидарно , если иное не предусмотрено договором , требования продавца не могут быть адресованы к одному из поручителей , т.к. в нашем случае как раз «иное предусмотрено договором».</w:t>
      </w:r>
    </w:p>
    <w:p w:rsidR="00A305C5" w:rsidRDefault="00B711B4">
      <w:pPr>
        <w:rPr>
          <w:sz w:val="28"/>
        </w:rPr>
      </w:pPr>
      <w:r>
        <w:rPr>
          <w:sz w:val="22"/>
        </w:rPr>
        <w:t xml:space="preserve">   В соответствии со ст. 364 ГК РФ Тихонова имеет право возражать против требований Прокофьева . Согласно выше указанных положений ст. 363 она совершено обоснованно против ответственности за весь долг , поскольку договором ограничена часть долга за который она поручилась . Что касается второго её возражения по поводу возможности заплатить долг в течении шести месяцев , то в этой части её возражения не обоснованы , поскольку заплатить  долг в качестве попечителя – её обязанность в период действия договора поручительства . В условии не сказано , что в договоре поручительства был указан срок на который оно было дано значит следует применить ч. 1 ст. 367 « поручительство прекращается с прекращением обеспеченного обязательства ». Обязательство не было исполнено Воробъёвым . Кроме того согласно ч. 4 ст. 367 , если срок на который даётся поручительство в договоре не указан , то поручительство прекращается , если кредитор в течении года со дня поступления срока исполнения обязательства не предъявит иск поручителю . В данном случае год ещё не прошёл , следовательно вторая часть возражения Тихоновой не обоснована . И она должна будет оплатить половину долга  Воробъёва .</w:t>
      </w:r>
      <w:r>
        <w:rPr>
          <w:sz w:val="28"/>
        </w:rPr>
        <w:t xml:space="preserve">      </w:t>
      </w:r>
    </w:p>
    <w:p w:rsidR="00A305C5" w:rsidRDefault="00A305C5">
      <w:pPr>
        <w:rPr>
          <w:sz w:val="28"/>
        </w:rPr>
      </w:pPr>
    </w:p>
    <w:p w:rsidR="00A305C5" w:rsidRDefault="00A305C5"/>
    <w:p w:rsidR="00A305C5" w:rsidRDefault="00A305C5"/>
    <w:p w:rsidR="00A305C5" w:rsidRDefault="00A305C5"/>
    <w:p w:rsidR="00A305C5" w:rsidRDefault="00A305C5"/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A305C5">
      <w:pPr>
        <w:pStyle w:val="2"/>
        <w:rPr>
          <w:b/>
        </w:rPr>
      </w:pPr>
    </w:p>
    <w:p w:rsidR="00A305C5" w:rsidRDefault="00B711B4">
      <w:pPr>
        <w:pStyle w:val="2"/>
        <w:rPr>
          <w:b/>
        </w:rPr>
      </w:pPr>
      <w:r>
        <w:rPr>
          <w:b/>
        </w:rPr>
        <w:t xml:space="preserve">АКАДЕМИЧЕСКИЙ ПРАВОВОЙ УНЕВЕСИТЕТ </w:t>
      </w:r>
    </w:p>
    <w:p w:rsidR="00A305C5" w:rsidRDefault="00B711B4">
      <w:pPr>
        <w:jc w:val="center"/>
        <w:rPr>
          <w:b/>
          <w:sz w:val="24"/>
        </w:rPr>
      </w:pPr>
      <w:r>
        <w:rPr>
          <w:b/>
          <w:sz w:val="24"/>
        </w:rPr>
        <w:t>при ИНСТИТУТЕ ГОСУДАРСТВА И ПРАВА</w:t>
      </w:r>
    </w:p>
    <w:p w:rsidR="00A305C5" w:rsidRDefault="00B711B4">
      <w:pPr>
        <w:jc w:val="center"/>
        <w:rPr>
          <w:b/>
          <w:sz w:val="24"/>
        </w:rPr>
      </w:pPr>
      <w:r>
        <w:rPr>
          <w:b/>
          <w:sz w:val="24"/>
        </w:rPr>
        <w:t>РОСИЙСКОЙ АКАДЕМИИ НАУК</w:t>
      </w:r>
    </w:p>
    <w:p w:rsidR="00A305C5" w:rsidRDefault="00A305C5">
      <w:pPr>
        <w:rPr>
          <w:b/>
        </w:rPr>
      </w:pPr>
    </w:p>
    <w:p w:rsidR="00A305C5" w:rsidRDefault="00A305C5">
      <w:pPr>
        <w:rPr>
          <w:b/>
        </w:rPr>
      </w:pPr>
    </w:p>
    <w:p w:rsidR="00A305C5" w:rsidRDefault="00A305C5"/>
    <w:p w:rsidR="00A305C5" w:rsidRDefault="00A305C5"/>
    <w:p w:rsidR="00A305C5" w:rsidRDefault="00A305C5"/>
    <w:p w:rsidR="00A305C5" w:rsidRDefault="00B711B4">
      <w:pPr>
        <w:jc w:val="center"/>
      </w:pPr>
      <w:r>
        <w:rPr>
          <w:b/>
          <w:sz w:val="24"/>
        </w:rPr>
        <w:t>Дисциплина :</w:t>
      </w:r>
      <w:r>
        <w:t xml:space="preserve">        Гражданское право ( 1 часть )</w:t>
      </w:r>
    </w:p>
    <w:p w:rsidR="00A305C5" w:rsidRDefault="00A305C5"/>
    <w:p w:rsidR="00A305C5" w:rsidRDefault="00A305C5"/>
    <w:p w:rsidR="00A305C5" w:rsidRDefault="00A305C5"/>
    <w:p w:rsidR="00A305C5" w:rsidRDefault="00A305C5">
      <w:pPr>
        <w:pStyle w:val="1"/>
      </w:pPr>
    </w:p>
    <w:p w:rsidR="00A305C5" w:rsidRDefault="00A305C5">
      <w:pPr>
        <w:pStyle w:val="1"/>
      </w:pPr>
    </w:p>
    <w:p w:rsidR="00A305C5" w:rsidRDefault="00A305C5">
      <w:pPr>
        <w:pStyle w:val="1"/>
      </w:pPr>
    </w:p>
    <w:p w:rsidR="00A305C5" w:rsidRDefault="00B711B4">
      <w:pPr>
        <w:pStyle w:val="1"/>
      </w:pPr>
      <w:r>
        <w:t>КОНТОРЛЬНАЯ   РАБОТА</w:t>
      </w:r>
    </w:p>
    <w:p w:rsidR="00A305C5" w:rsidRDefault="00A305C5">
      <w:pPr>
        <w:jc w:val="center"/>
        <w:rPr>
          <w:b/>
          <w:sz w:val="32"/>
        </w:rPr>
      </w:pPr>
    </w:p>
    <w:p w:rsidR="00A305C5" w:rsidRDefault="00A305C5">
      <w:pPr>
        <w:jc w:val="center"/>
        <w:rPr>
          <w:b/>
          <w:sz w:val="32"/>
        </w:rPr>
      </w:pPr>
    </w:p>
    <w:p w:rsidR="00A305C5" w:rsidRDefault="00A305C5">
      <w:pPr>
        <w:jc w:val="center"/>
        <w:rPr>
          <w:b/>
          <w:sz w:val="32"/>
        </w:rPr>
      </w:pPr>
    </w:p>
    <w:p w:rsidR="00A305C5" w:rsidRDefault="00B711B4">
      <w:r>
        <w:rPr>
          <w:b/>
          <w:sz w:val="24"/>
        </w:rPr>
        <w:t>Тема :</w:t>
      </w:r>
      <w:r>
        <w:t xml:space="preserve">       Ответы на вопросы и решение задач</w:t>
      </w:r>
    </w:p>
    <w:p w:rsidR="00A305C5" w:rsidRDefault="00A305C5"/>
    <w:p w:rsidR="00A305C5" w:rsidRDefault="00A305C5"/>
    <w:p w:rsidR="00A305C5" w:rsidRDefault="00A305C5"/>
    <w:p w:rsidR="00A305C5" w:rsidRDefault="00A305C5"/>
    <w:p w:rsidR="00A305C5" w:rsidRDefault="00B711B4">
      <w:r>
        <w:rPr>
          <w:b/>
          <w:sz w:val="24"/>
        </w:rPr>
        <w:t>Выполнил :</w:t>
      </w:r>
      <w:r>
        <w:t xml:space="preserve"> студент  2-го  курса заочного отделения</w:t>
      </w:r>
    </w:p>
    <w:p w:rsidR="00A305C5" w:rsidRDefault="00B711B4">
      <w:r>
        <w:t xml:space="preserve">                     Группа   2-21</w:t>
      </w:r>
    </w:p>
    <w:p w:rsidR="00A305C5" w:rsidRDefault="00B711B4">
      <w:r>
        <w:t xml:space="preserve">                    Ф.И.О.    Жалыбин О.О.</w:t>
      </w:r>
    </w:p>
    <w:p w:rsidR="00A305C5" w:rsidRDefault="00A305C5"/>
    <w:p w:rsidR="00A305C5" w:rsidRDefault="00A305C5"/>
    <w:p w:rsidR="00A305C5" w:rsidRDefault="00A305C5"/>
    <w:p w:rsidR="00A305C5" w:rsidRDefault="00B711B4">
      <w:r>
        <w:rPr>
          <w:b/>
          <w:sz w:val="24"/>
        </w:rPr>
        <w:t xml:space="preserve">Преподаватель : </w:t>
      </w:r>
      <w:r>
        <w:t xml:space="preserve">  _____________________________________</w:t>
      </w:r>
    </w:p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A305C5"/>
    <w:p w:rsidR="00A305C5" w:rsidRDefault="00B711B4">
      <w:r>
        <w:t xml:space="preserve">Дата сдачи                                                                                                       Дата проверки </w:t>
      </w:r>
    </w:p>
    <w:p w:rsidR="00A305C5" w:rsidRDefault="00B711B4">
      <w:r>
        <w:t xml:space="preserve">                                                                                                                          _____________</w:t>
      </w:r>
    </w:p>
    <w:p w:rsidR="00A305C5" w:rsidRDefault="00B711B4">
      <w:r>
        <w:t xml:space="preserve">«___»______2000 г.                                                                                        </w:t>
      </w:r>
      <w:r>
        <w:rPr>
          <w:sz w:val="18"/>
        </w:rPr>
        <w:t>Подпись преподавателя</w:t>
      </w:r>
    </w:p>
    <w:p w:rsidR="00A305C5" w:rsidRDefault="00A305C5"/>
    <w:p w:rsidR="00A305C5" w:rsidRDefault="00B711B4">
      <w:r>
        <w:t>Принял__________                                                                                         _____________</w:t>
      </w:r>
    </w:p>
    <w:p w:rsidR="00A305C5" w:rsidRDefault="00A305C5">
      <w:pPr>
        <w:tabs>
          <w:tab w:val="left" w:pos="7513"/>
        </w:tabs>
      </w:pPr>
    </w:p>
    <w:p w:rsidR="00A305C5" w:rsidRDefault="00A305C5"/>
    <w:p w:rsidR="00A305C5" w:rsidRDefault="00A305C5"/>
    <w:p w:rsidR="00A305C5" w:rsidRDefault="00A305C5"/>
    <w:p w:rsidR="00A305C5" w:rsidRDefault="00A305C5"/>
    <w:p w:rsidR="00A305C5" w:rsidRDefault="00A305C5">
      <w:bookmarkStart w:id="0" w:name="_GoBack"/>
      <w:bookmarkEnd w:id="0"/>
    </w:p>
    <w:sectPr w:rsidR="00A305C5">
      <w:pgSz w:w="11906" w:h="16838"/>
      <w:pgMar w:top="993" w:right="851" w:bottom="21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28C2"/>
    <w:multiLevelType w:val="singleLevel"/>
    <w:tmpl w:val="B4C4443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37BC61A9"/>
    <w:multiLevelType w:val="singleLevel"/>
    <w:tmpl w:val="DCDEB508"/>
    <w:lvl w:ilvl="0">
      <w:start w:val="2"/>
      <w:numFmt w:val="decimal"/>
      <w:lvlText w:val="%1)"/>
      <w:lvlJc w:val="left"/>
      <w:pPr>
        <w:tabs>
          <w:tab w:val="num" w:pos="1492"/>
        </w:tabs>
        <w:ind w:left="1492" w:hanging="360"/>
      </w:pPr>
      <w:rPr>
        <w:rFonts w:hint="default"/>
      </w:rPr>
    </w:lvl>
  </w:abstractNum>
  <w:abstractNum w:abstractNumId="2">
    <w:nsid w:val="3A290795"/>
    <w:multiLevelType w:val="singleLevel"/>
    <w:tmpl w:val="0D78137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5D5F596D"/>
    <w:multiLevelType w:val="singleLevel"/>
    <w:tmpl w:val="EF96038C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>
    <w:nsid w:val="66E06D6C"/>
    <w:multiLevelType w:val="singleLevel"/>
    <w:tmpl w:val="2FF0668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1B4"/>
    <w:rsid w:val="00A305C5"/>
    <w:rsid w:val="00A86A51"/>
    <w:rsid w:val="00B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04B72-844B-4AB7-BBAB-3C14190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42"/>
    </w:pPr>
  </w:style>
  <w:style w:type="paragraph" w:styleId="20">
    <w:name w:val="Body Text Indent 2"/>
    <w:basedOn w:val="a"/>
    <w:semiHidden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вопросы</vt:lpstr>
    </vt:vector>
  </TitlesOfParts>
  <Company>1</Company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вопросы</dc:title>
  <dc:subject/>
  <dc:creator>1</dc:creator>
  <cp:keywords/>
  <cp:lastModifiedBy>Irina</cp:lastModifiedBy>
  <cp:revision>2</cp:revision>
  <cp:lastPrinted>2000-03-27T11:45:00Z</cp:lastPrinted>
  <dcterms:created xsi:type="dcterms:W3CDTF">2014-09-17T13:51:00Z</dcterms:created>
  <dcterms:modified xsi:type="dcterms:W3CDTF">2014-09-17T13:51:00Z</dcterms:modified>
</cp:coreProperties>
</file>