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289C" w:rsidRPr="005D7166" w:rsidRDefault="00AC289C" w:rsidP="00590D81">
      <w:pPr>
        <w:autoSpaceDE w:val="0"/>
        <w:autoSpaceDN w:val="0"/>
        <w:adjustRightInd w:val="0"/>
        <w:spacing w:line="360" w:lineRule="auto"/>
        <w:ind w:firstLine="709"/>
        <w:jc w:val="both"/>
        <w:rPr>
          <w:b/>
          <w:bCs/>
          <w:caps/>
          <w:kern w:val="28"/>
          <w:sz w:val="28"/>
          <w:szCs w:val="22"/>
        </w:rPr>
      </w:pPr>
      <w:r w:rsidRPr="005D7166">
        <w:rPr>
          <w:b/>
          <w:bCs/>
          <w:caps/>
          <w:kern w:val="28"/>
          <w:sz w:val="28"/>
          <w:szCs w:val="22"/>
        </w:rPr>
        <w:t>Валютные операции банков с векселями</w:t>
      </w:r>
    </w:p>
    <w:p w:rsidR="00AC289C" w:rsidRDefault="00AC289C" w:rsidP="00590D81">
      <w:pPr>
        <w:autoSpaceDE w:val="0"/>
        <w:autoSpaceDN w:val="0"/>
        <w:adjustRightInd w:val="0"/>
        <w:spacing w:line="360" w:lineRule="auto"/>
        <w:ind w:firstLine="709"/>
        <w:jc w:val="both"/>
        <w:rPr>
          <w:rFonts w:cs="Tahoma"/>
          <w:kern w:val="28"/>
          <w:sz w:val="28"/>
          <w:szCs w:val="18"/>
        </w:rPr>
      </w:pP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После выхода Правил проведения валютных операций, утвержденных постановлением Правления Национального банка Республики Беларусь от 30.04.2004 № 72 (далее - Правила № 72), порядок проведения валютных операций с векселями значительно упростился. В особенности это касается операций, проводимых банками.</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До недавнего времени основные требования к порядку использования банками иностранной валюты и белорусских рублей при проведении операций с рублевыми и валютными векселями с участием как резидентов, так и нерезидентов содержались в Правилах регистрации векселей банков и проведения банками операций с векселями, утвержденных постановлением Правления Национального банка Республики Беларусь от 24.06.2003 № 115 (далее - Правила № 115). По вопросам, которые оставались за рамками регулирования данного документа, банки и их клиенты руководствовались общими нормами валютного законодательства.</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Однако в настоящее время, принимая во внимание нормы ст. 10 и 71 Закона Республики Беларусь "О нормативных правовых актах" Республики Беларусь, а также требования ст. 25 Закона Республики Беларусь от 22.07.2003 № 226-3 "О валютном регулировании и валютном контроле" (далее - Закон № 226-3) можно говорить о неприменении следующих пунктов Правил № 115 с момента вступления в силу Правил № 72:</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п. 10, устанавливающего порядок использования иностранной валюты и белорусских рублей при выдаче векселей банка, продаже (покупке) векселей на вторичном рынке и векселей, номинированных в иностранной валюте, при проведении банками операций с векселями на первичном и вторичном, в том числе с участием нерезидентов;</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п. 28, допускающего использование иностранной валюты между банком и резидентом при погашении задолженности по оплате отсрочки оплаты векселя и вознаграждения банка за предоставленную отсрочке;</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ч. 3 п. 43, устанавливающей обязательность совпадения валюты обязательства, прекращаемого новацией с использованием векселя, и валюты номинала векселя;</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п. 83, определяющего возможность проведения операции мены векселей в зависимости от валюты номинала обмениваемых векселей;</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п. 88, определяющего возможность банка принимать в качестве отступного вексель, номинированный в любой валюте, в счет прекращения обязательства выраженного также в любой валюте;</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п. 98, разрешающего принимать в залог векселя, номинированные в любой валюте, в качестве обеспечения исполнения обязательств, выраженных также в любой валюте.</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Здесь следует отметить, что операции банков с векселями не являются банковскими на основании норм ст. 14 Банковского кодекса Республики Беларусь (далее - БК).</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Основными нормами, определяющими возможность и порядок проведения банками валютных операций с векселями являются:</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для операций с резидентами Республики Беларусь - норма п. 25.5 Правил № 72, определяющая порядок использования иностранной валюты ценных бумаг в иностранной валюте и (или) платежных документов в иностранной валюте между субъектами валютных операций - резидентами;</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для операций с нерезидентами Республики Беларусь - норма главы 4 Правил № 72, определяющая порядок использования белорусских рублей и иностранной валюты при расчетах с нерезидентом, а также норма ст. 7 Закон № 226-З, определяющая возможность приобретения резидентом у нерезидента ценных бумаг, выпущенных резидентами и нерезидентами.</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Рассмотрим эти два варианта более подробно.</w:t>
      </w:r>
    </w:p>
    <w:p w:rsidR="00AC289C" w:rsidRPr="00B97385" w:rsidRDefault="00590D81" w:rsidP="00590D81">
      <w:pPr>
        <w:autoSpaceDE w:val="0"/>
        <w:autoSpaceDN w:val="0"/>
        <w:adjustRightInd w:val="0"/>
        <w:spacing w:line="360" w:lineRule="auto"/>
        <w:ind w:firstLine="709"/>
        <w:jc w:val="both"/>
        <w:rPr>
          <w:rFonts w:cs="Arial"/>
          <w:bCs/>
          <w:caps/>
          <w:kern w:val="28"/>
          <w:sz w:val="28"/>
          <w:szCs w:val="18"/>
        </w:rPr>
      </w:pPr>
      <w:r>
        <w:rPr>
          <w:rFonts w:cs="Arial"/>
          <w:bCs/>
          <w:caps/>
          <w:kern w:val="28"/>
          <w:sz w:val="28"/>
          <w:szCs w:val="18"/>
        </w:rPr>
        <w:br w:type="page"/>
      </w:r>
      <w:r w:rsidR="00AC289C" w:rsidRPr="00B97385">
        <w:rPr>
          <w:rFonts w:cs="Arial"/>
          <w:bCs/>
          <w:caps/>
          <w:kern w:val="28"/>
          <w:sz w:val="28"/>
          <w:szCs w:val="18"/>
        </w:rPr>
        <w:t>Операции банков с векселями с участием резидентов</w:t>
      </w:r>
    </w:p>
    <w:p w:rsidR="00590D81" w:rsidRDefault="00590D81" w:rsidP="00590D81">
      <w:pPr>
        <w:autoSpaceDE w:val="0"/>
        <w:autoSpaceDN w:val="0"/>
        <w:adjustRightInd w:val="0"/>
        <w:spacing w:line="360" w:lineRule="auto"/>
        <w:ind w:firstLine="709"/>
        <w:jc w:val="both"/>
        <w:rPr>
          <w:rFonts w:cs="Arial"/>
          <w:bCs/>
          <w:iCs/>
          <w:kern w:val="28"/>
          <w:sz w:val="28"/>
          <w:szCs w:val="18"/>
        </w:rPr>
      </w:pPr>
    </w:p>
    <w:p w:rsidR="00AC289C" w:rsidRPr="00B97385" w:rsidRDefault="00AC289C" w:rsidP="00590D81">
      <w:pPr>
        <w:autoSpaceDE w:val="0"/>
        <w:autoSpaceDN w:val="0"/>
        <w:adjustRightInd w:val="0"/>
        <w:spacing w:line="360" w:lineRule="auto"/>
        <w:ind w:firstLine="709"/>
        <w:jc w:val="both"/>
        <w:rPr>
          <w:rFonts w:cs="Arial"/>
          <w:bCs/>
          <w:iCs/>
          <w:kern w:val="28"/>
          <w:sz w:val="28"/>
          <w:szCs w:val="18"/>
        </w:rPr>
      </w:pPr>
      <w:r w:rsidRPr="00B97385">
        <w:rPr>
          <w:rFonts w:cs="Arial"/>
          <w:bCs/>
          <w:iCs/>
          <w:kern w:val="28"/>
          <w:sz w:val="28"/>
          <w:szCs w:val="18"/>
        </w:rPr>
        <w:t>Получение и передача банками векселей на первичном рынке</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Основная масса векселей выдается банками в обмен на получение ими от клиента денежных средств до выдачи векселя либо после истечения определенного срока (выдача векселя с отсрочкой оплаты).</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На основании разрешения, установленного п. 25.5 Правил № 72, банки вправе выдавать резидентам векселя, номинированные в иностранной валюте, и использовать иностранную валюту в расчетах при выдаче векселя. Если ранее были определенные ограничения на использование иностранной валюты при расчетах за векселя банков на первичном рынке в зависимости от валюты их номинала и формулировки срока платежа, то теперь стороны по сделке свободны в выборе валюты расчетов за получаемый от банка на первичном рынке вексель, в какой бы валюте он ни был бы номинирован.</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Кроме того, стороны могут без ограничений изменять валюту расчетов по договорам выдачи векселей в соответствии с п. 11, 12, 25.5 Правил № 72. Это особенно важно при проведении операций выдачи векселя с отсрочкой оплаты, когда, как показывает практика, у клиента за время предоставленной отсрочки изменилась финансовая ситуация и необходимо предусмотреть иную валюту расчетов по договору.</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Приобретение банком векселей на первичном рынке за денежные средства, в том числе векселей, номинированных в иностранной валюте, разрешено только в случаях приобретения векселей Правительства, Национального банка Республики Беларусь и векселей банков (п. 9 Правил № 115, п. 2, 25.5 и 25.8 Правил № 72) 1  . В первых двух случаях согласно п. 68 Правил № 115 порядок взаимодействия сторон, в том числе и возможность использования иностранной валюты в расчетах, определяется процедурой, установленной законодательством 2  . Валютный же аспект выдачи векселей банков за денежные средства был описан выше.</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Выдача банком векселя резиденту в порядке новации либо получение банком векселя в качестве первого векселедержателя при проведении новации предполагает замену первоначального обязательства между сторонами векселем, выданным должником по первоначальному обязательству кредитору по этому обязательству с учетом ограничений, предусмотренных ст. 384 Гражданского кодекса Республики Беларусь (далее - ГК).</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С точки зрения валютного регулирования появление в результате данной сделки векселя, номинированного в иностранной валюте, не создает никаких проблем ни для банка, ни для клиента на основании нормы п. 25.5 Правил № 72. Более того, следует отметить, что поскольку вексель является денежным обязательством, то согласно п. 11 и 12 Правил № 72 выдачей векселя в иностранной валюте или белорусских рублях в порядке новации допускается замена денежных обязательств в белорусских рублях либо валюте соответственно. В связи с наличием данных норм не действует, как было отмечено выше, ограничение по обязательному совпадению валюты обязательства, прекращаемого новацией и валюты номинала векселя, содержащееся в п. 43 Правил № 115.</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Банки также вправе выдавать векселя, номинированные в иностранной валюте, за полученные товары (работы, услуги), а также получать такие векселя в качестве первого векселедержателя за реализованное имущество банка без ограничений согласно нормам п. 25.5 Правил № 72 и п. 9 Правил № 115.</w:t>
      </w:r>
    </w:p>
    <w:p w:rsidR="00590D81" w:rsidRDefault="00590D81" w:rsidP="00590D81">
      <w:pPr>
        <w:autoSpaceDE w:val="0"/>
        <w:autoSpaceDN w:val="0"/>
        <w:adjustRightInd w:val="0"/>
        <w:spacing w:line="360" w:lineRule="auto"/>
        <w:ind w:firstLine="709"/>
        <w:jc w:val="both"/>
        <w:rPr>
          <w:rFonts w:cs="Arial"/>
          <w:bCs/>
          <w:caps/>
          <w:kern w:val="28"/>
          <w:sz w:val="28"/>
          <w:szCs w:val="18"/>
        </w:rPr>
      </w:pPr>
    </w:p>
    <w:p w:rsidR="00AC289C" w:rsidRPr="00B97385" w:rsidRDefault="00AC289C" w:rsidP="00590D81">
      <w:pPr>
        <w:autoSpaceDE w:val="0"/>
        <w:autoSpaceDN w:val="0"/>
        <w:adjustRightInd w:val="0"/>
        <w:spacing w:line="360" w:lineRule="auto"/>
        <w:ind w:firstLine="709"/>
        <w:jc w:val="both"/>
        <w:rPr>
          <w:rFonts w:cs="Arial"/>
          <w:bCs/>
          <w:caps/>
          <w:kern w:val="28"/>
          <w:sz w:val="28"/>
          <w:szCs w:val="18"/>
        </w:rPr>
      </w:pPr>
      <w:r w:rsidRPr="00B97385">
        <w:rPr>
          <w:rFonts w:cs="Arial"/>
          <w:bCs/>
          <w:caps/>
          <w:kern w:val="28"/>
          <w:sz w:val="28"/>
          <w:szCs w:val="18"/>
        </w:rPr>
        <w:t>Акцепт и аваль банками векселей резидентов</w:t>
      </w:r>
    </w:p>
    <w:p w:rsidR="00590D81" w:rsidRDefault="00590D81" w:rsidP="00590D81">
      <w:pPr>
        <w:autoSpaceDE w:val="0"/>
        <w:autoSpaceDN w:val="0"/>
        <w:adjustRightInd w:val="0"/>
        <w:spacing w:line="360" w:lineRule="auto"/>
        <w:ind w:firstLine="709"/>
        <w:jc w:val="both"/>
        <w:rPr>
          <w:rFonts w:cs="Tahoma"/>
          <w:kern w:val="28"/>
          <w:sz w:val="28"/>
          <w:szCs w:val="18"/>
        </w:rPr>
      </w:pP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Поскольку в экономической сути этих операций много общего (особенно в случае, когда банк дает аваль за акцептанта или векселедателя простого векселя), то и с точки зрения валютного регулирования к ним применим одинаковый подход. Рассмотрим их вместе.</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Согласно нормам главы 3 Закона Республики Беларусь "Об обращении переводных и простых векселей" (далее - Закон о векселе) и главы 6 Правил № 115 посредством акцепта векселя клиента банк принимает на себя безусловное обязательство заплатить по этому векселю при его предъявлении к платежу в срок, обозначенный на векселе как срок платежа, указанную в векселе сумму законному векселедержателю.</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 соответствии с нормами главы 4 Закона о векселе и главы 5 Правил № 115 посредством аваля векселя банк-авалист принимает на себя обязательство оплатить вексель в случае отказа это сделать лицом, за которое банк дал аваль.</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Данные операции осуществляются на основании соответствующего договора, условиями которого предусмотрен денежный расчет между сторонами по возмещению клиентом банку суммы платежа по векселю (в случае акцепта такое перечисление средств может быть заблаговременным до наступления срока платежа), а также по уплате банку соответствующего вознаграждения за оказанную услугу.</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Очевидно, что под статус валютных эти операции подпадают в случае акцепта либо аваля банком векселя, номинированного в иностранной валюте, а также в случае, если сформированные в белорусских рублях вышеуказанные обязательства клиента заменены уплатой иностранной валюты посредством дополнительного соглашения к договору.</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Движение иностранной валюты по данным операциям допускается п. 25.5 Правил № 72 между резидентами без ограничений.</w:t>
      </w:r>
    </w:p>
    <w:p w:rsidR="00590D81" w:rsidRDefault="00590D81" w:rsidP="00590D81">
      <w:pPr>
        <w:autoSpaceDE w:val="0"/>
        <w:autoSpaceDN w:val="0"/>
        <w:adjustRightInd w:val="0"/>
        <w:spacing w:line="360" w:lineRule="auto"/>
        <w:ind w:firstLine="709"/>
        <w:jc w:val="both"/>
        <w:rPr>
          <w:rFonts w:cs="Arial"/>
          <w:bCs/>
          <w:caps/>
          <w:kern w:val="28"/>
          <w:sz w:val="28"/>
          <w:szCs w:val="18"/>
        </w:rPr>
      </w:pPr>
    </w:p>
    <w:p w:rsidR="00AC289C" w:rsidRPr="00B97385" w:rsidRDefault="00AC289C" w:rsidP="00590D81">
      <w:pPr>
        <w:autoSpaceDE w:val="0"/>
        <w:autoSpaceDN w:val="0"/>
        <w:adjustRightInd w:val="0"/>
        <w:spacing w:line="360" w:lineRule="auto"/>
        <w:ind w:firstLine="709"/>
        <w:jc w:val="both"/>
        <w:rPr>
          <w:rFonts w:cs="Arial"/>
          <w:bCs/>
          <w:caps/>
          <w:kern w:val="28"/>
          <w:sz w:val="28"/>
          <w:szCs w:val="18"/>
        </w:rPr>
      </w:pPr>
      <w:r w:rsidRPr="00B97385">
        <w:rPr>
          <w:rFonts w:cs="Arial"/>
          <w:bCs/>
          <w:caps/>
          <w:kern w:val="28"/>
          <w:sz w:val="28"/>
          <w:szCs w:val="18"/>
        </w:rPr>
        <w:t>Оплата векселя</w:t>
      </w:r>
    </w:p>
    <w:p w:rsidR="00590D81" w:rsidRDefault="00590D81" w:rsidP="00590D81">
      <w:pPr>
        <w:autoSpaceDE w:val="0"/>
        <w:autoSpaceDN w:val="0"/>
        <w:adjustRightInd w:val="0"/>
        <w:spacing w:line="360" w:lineRule="auto"/>
        <w:ind w:firstLine="709"/>
        <w:jc w:val="both"/>
        <w:rPr>
          <w:rFonts w:cs="Tahoma"/>
          <w:kern w:val="28"/>
          <w:sz w:val="28"/>
          <w:szCs w:val="18"/>
        </w:rPr>
      </w:pP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 xml:space="preserve">Платеж по векселю занимает особое место в перечне сделок с векселями в валюте. Это определено наличием нормы, установленной ст. 41 Закона о векселе 3  , который, во-первых, принят во исполнение обязательств Республики Беларусь, принятых в рамках ратификации Женевской вексельной конвенции </w:t>
      </w:r>
      <w:smartTag w:uri="urn:schemas-microsoft-com:office:smarttags" w:element="metricconverter">
        <w:smartTagPr>
          <w:attr w:name="ProductID" w:val="1930 г"/>
        </w:smartTagPr>
        <w:r w:rsidRPr="00B97385">
          <w:rPr>
            <w:rFonts w:cs="Tahoma"/>
            <w:kern w:val="28"/>
            <w:sz w:val="28"/>
            <w:szCs w:val="18"/>
          </w:rPr>
          <w:t>1930 г</w:t>
        </w:r>
      </w:smartTag>
      <w:r w:rsidRPr="00B97385">
        <w:rPr>
          <w:rFonts w:cs="Tahoma"/>
          <w:kern w:val="28"/>
          <w:sz w:val="28"/>
          <w:szCs w:val="18"/>
        </w:rPr>
        <w:t>., и вводит на нашей территории нормы международного права, которое всегда имеет приоритет над национальным, во-вторых, являясь специальным законодательством, по общему правилу, имеет приоритет над общим. В этой связи при оплате векселя прежде всего необходимо руководствоваться нормами данной статьи и только потом нормами валютного законодательства.</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Таким образом, вексель банка с местом платежа на территории Республики Беларусь и номинированный в иностранной валюте, может быть оплачен банком либо в валюте номинала этого векселя, либо в белорусских рублях по официальному курсу Национального банка на день наступления срока платежа 4  . Поскольку Законом о векселе не предусмотрено иное, то в данном случае право выбора между этими двумя валютами принадлежит банку, в том случае, если он платит своевременно, и векселедержателю, если платеж был просрочен банком.</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Однако если банк поместил на векселе, номинированном в иностранной валюте, оговорку эффективного платежа в иностранной валюте 5  , то это налагает на него обязательство заплатить по векселю именно в валюте номинала.</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Использование иностранной валюты в этом случае допускается п. 25.5 и 25.8 Правил № 72.</w:t>
      </w:r>
    </w:p>
    <w:p w:rsidR="00590D81" w:rsidRDefault="00590D81" w:rsidP="00590D81">
      <w:pPr>
        <w:autoSpaceDE w:val="0"/>
        <w:autoSpaceDN w:val="0"/>
        <w:adjustRightInd w:val="0"/>
        <w:spacing w:line="360" w:lineRule="auto"/>
        <w:ind w:firstLine="709"/>
        <w:jc w:val="both"/>
        <w:rPr>
          <w:rFonts w:cs="Arial"/>
          <w:bCs/>
          <w:caps/>
          <w:kern w:val="28"/>
          <w:sz w:val="28"/>
          <w:szCs w:val="18"/>
        </w:rPr>
      </w:pPr>
    </w:p>
    <w:p w:rsidR="00AC289C" w:rsidRPr="00B97385" w:rsidRDefault="00AC289C" w:rsidP="00590D81">
      <w:pPr>
        <w:autoSpaceDE w:val="0"/>
        <w:autoSpaceDN w:val="0"/>
        <w:adjustRightInd w:val="0"/>
        <w:spacing w:line="360" w:lineRule="auto"/>
        <w:ind w:firstLine="709"/>
        <w:jc w:val="both"/>
        <w:rPr>
          <w:rFonts w:cs="Arial"/>
          <w:bCs/>
          <w:caps/>
          <w:kern w:val="28"/>
          <w:sz w:val="28"/>
          <w:szCs w:val="18"/>
        </w:rPr>
      </w:pPr>
      <w:r w:rsidRPr="00B97385">
        <w:rPr>
          <w:rFonts w:cs="Arial"/>
          <w:bCs/>
          <w:caps/>
          <w:kern w:val="28"/>
          <w:sz w:val="28"/>
          <w:szCs w:val="18"/>
        </w:rPr>
        <w:t>Получение и передача банками векселей на вторичном рынке</w:t>
      </w:r>
    </w:p>
    <w:p w:rsidR="00590D81" w:rsidRDefault="00590D81" w:rsidP="00590D81">
      <w:pPr>
        <w:autoSpaceDE w:val="0"/>
        <w:autoSpaceDN w:val="0"/>
        <w:adjustRightInd w:val="0"/>
        <w:spacing w:line="360" w:lineRule="auto"/>
        <w:ind w:firstLine="709"/>
        <w:jc w:val="both"/>
        <w:rPr>
          <w:rFonts w:cs="Tahoma"/>
          <w:kern w:val="28"/>
          <w:sz w:val="28"/>
          <w:szCs w:val="18"/>
        </w:rPr>
      </w:pP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Основной объем операций банков с векселями на вторичном рынке с участием резидентов приходится на операции покупки-продажи векселей. Со вступлением в силу Правил № 72 порядок использования иностранной валюты в расчетах при проведении этих операций, в том числе с векселями, номинированными в валюте, упростился максимально.</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Тот факт, что участником сделки по покупке-продаже векселя является банк, позволяет делать предметом такой сделки вексель, номинированный в любой валюте, и предусматривать расчеты за него также в любой валюте (п. 25.5 Правил № 72) вне зависимости от наличия оговорки эффективного платежа, как это было предусмотрено ранее п. 10 Правил № 115. Неприменение данного пункта также снимет определенную остроту в применении норм Указа Президента Республики Беларусь от 04.01.2000 № 7 "О совершенствовании порядка проведения и контроля внешнеторговых операций" (далее - Указ № 7), о чем более подробно будет сказано ниже.</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Несмотря на неприменение п. 88 и 98 Правил № 115, определяющих возможность банка использовать в качестве отступного либо в залог вексель, номинированный в любой валюте, в счет прекращения либо в качестве обеспечения исполнения обязательства, выраженного также в любой валюте, это право за банком сохраняется благодаря все той же норме п. 25.5. Более того, в соответствии с ней банк приобрел право не только принимать подобные векселя в качестве отступного либо в залог, но также и передавать их в данном качестве в счет прекращения своих обязательств либо в счет обеспечения их исполнения, выраженных как в валюте, так и рублях, не только банкам, как допускалось ранее, но и иным участникам рынка.</w:t>
      </w:r>
    </w:p>
    <w:p w:rsidR="00AC289C"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Возможность получения и передачи банками векселей в рамках операции мены также стала не зависить от валюты номинала обмениваемых векселей.</w:t>
      </w:r>
    </w:p>
    <w:p w:rsidR="00590D81" w:rsidRPr="00B97385" w:rsidRDefault="00590D81" w:rsidP="00590D81">
      <w:pPr>
        <w:autoSpaceDE w:val="0"/>
        <w:autoSpaceDN w:val="0"/>
        <w:adjustRightInd w:val="0"/>
        <w:spacing w:line="360" w:lineRule="auto"/>
        <w:ind w:firstLine="709"/>
        <w:jc w:val="both"/>
        <w:rPr>
          <w:rFonts w:cs="Tahoma"/>
          <w:kern w:val="28"/>
          <w:sz w:val="28"/>
          <w:szCs w:val="18"/>
        </w:rPr>
      </w:pPr>
    </w:p>
    <w:p w:rsidR="00AC289C" w:rsidRPr="00B97385" w:rsidRDefault="00AC289C" w:rsidP="00590D81">
      <w:pPr>
        <w:autoSpaceDE w:val="0"/>
        <w:autoSpaceDN w:val="0"/>
        <w:adjustRightInd w:val="0"/>
        <w:spacing w:line="360" w:lineRule="auto"/>
        <w:ind w:firstLine="709"/>
        <w:jc w:val="both"/>
        <w:rPr>
          <w:rFonts w:cs="Arial"/>
          <w:bCs/>
          <w:caps/>
          <w:kern w:val="28"/>
          <w:sz w:val="28"/>
          <w:szCs w:val="18"/>
        </w:rPr>
      </w:pPr>
      <w:r w:rsidRPr="00B97385">
        <w:rPr>
          <w:rFonts w:cs="Arial"/>
          <w:bCs/>
          <w:caps/>
          <w:kern w:val="28"/>
          <w:sz w:val="28"/>
          <w:szCs w:val="18"/>
        </w:rPr>
        <w:t>Посреднические операции с векселями</w:t>
      </w:r>
    </w:p>
    <w:p w:rsidR="00590D81" w:rsidRDefault="00590D81" w:rsidP="00590D81">
      <w:pPr>
        <w:autoSpaceDE w:val="0"/>
        <w:autoSpaceDN w:val="0"/>
        <w:adjustRightInd w:val="0"/>
        <w:spacing w:line="360" w:lineRule="auto"/>
        <w:ind w:firstLine="709"/>
        <w:jc w:val="both"/>
        <w:rPr>
          <w:rFonts w:cs="Tahoma"/>
          <w:kern w:val="28"/>
          <w:sz w:val="28"/>
          <w:szCs w:val="18"/>
        </w:rPr>
      </w:pP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Порядок проведения банками посреднических операций с векселями, которые можно отнести к валютным, зависит от того, на основании какого договора банк осуществляет посредничество.</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 случае если банк оказывает клиенту услуги на основании договора комиссии, то в соответствии со ст. 880 ГК по договору комиссии комиссионер (банк) совершает сделки от своего имени, но за счет комитента (клиента), а также приобретает права и становится обязанным по сделке, совершенной с третьим лицом, хотя бы комитент и был назван в сделке или вступил с третьим лицом в непосредственные отношения по исполнению сделки. Такой формат взаимоотношений предполагает, что при определении порядка проведения операции банк должен руководствоваться нормами, установленными валютным законодательством для него самого.</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Если же банк оказывает клиенту услуги на основании договора поручения, то согласно ст. 861 ГК права и обязанности по сделке, совершенной банком, возникают непосредственно у клиента, следовательно, при определении порядка проведения валютной операции банк руководствуется нормами валютного законодательства, установленными для его клиента.</w:t>
      </w:r>
    </w:p>
    <w:p w:rsidR="00590D81" w:rsidRDefault="00590D81" w:rsidP="00590D81">
      <w:pPr>
        <w:autoSpaceDE w:val="0"/>
        <w:autoSpaceDN w:val="0"/>
        <w:adjustRightInd w:val="0"/>
        <w:spacing w:line="360" w:lineRule="auto"/>
        <w:ind w:firstLine="709"/>
        <w:jc w:val="both"/>
        <w:rPr>
          <w:rFonts w:cs="Arial"/>
          <w:bCs/>
          <w:caps/>
          <w:kern w:val="28"/>
          <w:sz w:val="28"/>
          <w:szCs w:val="18"/>
        </w:rPr>
      </w:pPr>
    </w:p>
    <w:p w:rsidR="00AC289C" w:rsidRPr="00B97385" w:rsidRDefault="00AC289C" w:rsidP="00590D81">
      <w:pPr>
        <w:autoSpaceDE w:val="0"/>
        <w:autoSpaceDN w:val="0"/>
        <w:adjustRightInd w:val="0"/>
        <w:spacing w:line="360" w:lineRule="auto"/>
        <w:ind w:firstLine="709"/>
        <w:jc w:val="both"/>
        <w:rPr>
          <w:rFonts w:cs="Arial"/>
          <w:bCs/>
          <w:caps/>
          <w:kern w:val="28"/>
          <w:sz w:val="28"/>
          <w:szCs w:val="18"/>
        </w:rPr>
      </w:pPr>
      <w:r w:rsidRPr="00B97385">
        <w:rPr>
          <w:rFonts w:cs="Arial"/>
          <w:bCs/>
          <w:caps/>
          <w:kern w:val="28"/>
          <w:sz w:val="28"/>
          <w:szCs w:val="18"/>
        </w:rPr>
        <w:t>Операции банков с векселями с участием нерезидентов</w:t>
      </w:r>
    </w:p>
    <w:p w:rsidR="00590D81" w:rsidRDefault="00590D81" w:rsidP="00590D81">
      <w:pPr>
        <w:autoSpaceDE w:val="0"/>
        <w:autoSpaceDN w:val="0"/>
        <w:adjustRightInd w:val="0"/>
        <w:spacing w:line="360" w:lineRule="auto"/>
        <w:ind w:firstLine="709"/>
        <w:jc w:val="both"/>
        <w:rPr>
          <w:rFonts w:cs="Tahoma"/>
          <w:kern w:val="28"/>
          <w:sz w:val="28"/>
          <w:szCs w:val="18"/>
        </w:rPr>
      </w:pP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 этом разделе особо стоит остановиться на отнесении тех или иных операций банков с векселями с участием нерезидентов к текущим либо связанным с движением капитала ("капитальным").</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 соответствии с определениями ст. 5-10 Закона № 226-З к "капитальным" операциям относятся:</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выдача банком векселя нерезиденту и передача банком нерезиденту векселя, выпущенного резидентом, по любым операциям (с некоторыми оговорками);</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передача банком векселя, выпущенного нерезидентом, по любым операциям за исключением передачи такого векселя за полученные от нерезидента товары (работы, услуги);</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приобретение банком на первичном либо вторичном рынке векселя нерезидента;</w:t>
      </w:r>
    </w:p>
    <w:p w:rsidR="00AC289C" w:rsidRPr="00B97385" w:rsidRDefault="00AC289C" w:rsidP="00590D81">
      <w:pPr>
        <w:numPr>
          <w:ilvl w:val="1"/>
          <w:numId w:val="1"/>
        </w:numPr>
        <w:autoSpaceDE w:val="0"/>
        <w:autoSpaceDN w:val="0"/>
        <w:adjustRightInd w:val="0"/>
        <w:spacing w:line="360" w:lineRule="auto"/>
        <w:ind w:left="0" w:firstLine="709"/>
        <w:jc w:val="both"/>
        <w:rPr>
          <w:kern w:val="28"/>
          <w:sz w:val="28"/>
        </w:rPr>
      </w:pPr>
      <w:r w:rsidRPr="00B97385">
        <w:rPr>
          <w:rFonts w:cs="Tahoma"/>
          <w:kern w:val="28"/>
          <w:sz w:val="28"/>
          <w:szCs w:val="18"/>
        </w:rPr>
        <w:t>- оплата банком своего векселя нерезиденту;</w:t>
      </w:r>
    </w:p>
    <w:p w:rsidR="00590D81" w:rsidRDefault="00AC289C" w:rsidP="00590D81">
      <w:pPr>
        <w:numPr>
          <w:ilvl w:val="1"/>
          <w:numId w:val="1"/>
        </w:numPr>
        <w:autoSpaceDE w:val="0"/>
        <w:autoSpaceDN w:val="0"/>
        <w:adjustRightInd w:val="0"/>
        <w:spacing w:line="360" w:lineRule="auto"/>
        <w:ind w:left="0" w:firstLine="709"/>
        <w:jc w:val="both"/>
        <w:rPr>
          <w:rFonts w:cs="Tahoma"/>
          <w:kern w:val="28"/>
          <w:sz w:val="28"/>
          <w:szCs w:val="18"/>
        </w:rPr>
      </w:pPr>
      <w:r w:rsidRPr="00B97385">
        <w:rPr>
          <w:rFonts w:cs="Tahoma"/>
          <w:kern w:val="28"/>
          <w:sz w:val="28"/>
          <w:szCs w:val="18"/>
        </w:rPr>
        <w:t>- получение банком платежа по векселю нерезидента.</w:t>
      </w:r>
    </w:p>
    <w:p w:rsidR="00AC289C" w:rsidRPr="00590D81" w:rsidRDefault="00590D81" w:rsidP="00590D81">
      <w:pPr>
        <w:numPr>
          <w:ilvl w:val="1"/>
          <w:numId w:val="1"/>
        </w:numPr>
        <w:autoSpaceDE w:val="0"/>
        <w:autoSpaceDN w:val="0"/>
        <w:adjustRightInd w:val="0"/>
        <w:spacing w:line="360" w:lineRule="auto"/>
        <w:ind w:left="0" w:firstLine="709"/>
        <w:jc w:val="both"/>
        <w:rPr>
          <w:rFonts w:cs="Arial"/>
          <w:bCs/>
          <w:caps/>
          <w:kern w:val="28"/>
          <w:sz w:val="28"/>
          <w:szCs w:val="18"/>
        </w:rPr>
      </w:pPr>
      <w:r w:rsidRPr="00590D81">
        <w:rPr>
          <w:rFonts w:cs="Tahoma"/>
          <w:kern w:val="28"/>
          <w:sz w:val="28"/>
          <w:szCs w:val="18"/>
        </w:rPr>
        <w:br w:type="page"/>
      </w:r>
      <w:r w:rsidR="00AC289C" w:rsidRPr="00590D81">
        <w:rPr>
          <w:rFonts w:cs="Arial"/>
          <w:bCs/>
          <w:caps/>
          <w:kern w:val="28"/>
          <w:sz w:val="28"/>
          <w:szCs w:val="18"/>
        </w:rPr>
        <w:t>Выдача и передача банками векселей нерезидентам</w:t>
      </w:r>
    </w:p>
    <w:p w:rsidR="00590D81" w:rsidRDefault="00590D81" w:rsidP="00590D81">
      <w:pPr>
        <w:autoSpaceDE w:val="0"/>
        <w:autoSpaceDN w:val="0"/>
        <w:adjustRightInd w:val="0"/>
        <w:spacing w:line="360" w:lineRule="auto"/>
        <w:ind w:firstLine="709"/>
        <w:jc w:val="both"/>
        <w:rPr>
          <w:rFonts w:cs="Tahoma"/>
          <w:kern w:val="28"/>
          <w:sz w:val="28"/>
          <w:szCs w:val="18"/>
        </w:rPr>
      </w:pP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 соответствии с нормами главы 3 и п. 23 Правил № 115 банки могут выдавать векселя нерезидентам на тех же основаниях, что и резидентам, за исключением выдачи векселей с отсрочкой оплаты.</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Передача банками векселей нерезидентам на вторичном рынке возможна при продаже векселей, передаче их в качестве отступного, в залог, а также в качестве "оплаты" за полученные от нерезидента товары (работы, услуги) при том, что в качестве товара в таком случае может выступать и вексель (ст. 128, 129, 425 ГК).</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Учитывая, что вексель, как было указано ранее, является денежным обязательством, то определение возможности банка выдать вексель, номинированный в той или иной валюте 6  , должно осуществляться с учетом нормы п. 24 Правил № 72, в соответствии с которой денежные обязательства по валютным операциям между резидентом и нерезидентом могут быть выражены и исполнены в иностранной валюте, официальный курс белорусского рубля к которой установлен Национальным банком, если иное не предусмотрено международными договорами Республики Беларусь.</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При выдаче банком векселя за денежные средства либо продаже векселя нерезиденту на вторичном рынке эту же норму необходимо принимать во внимание и при определении валюты расчетов за выдаваемый либо продаваемый вексель, которая должна быть указана в договоре на выдачу векселя банка либо в договоре купли-продажи. Ограничения по обязательному совпадению валюты номинала векселя и валюты расчетов в данном случае отсутствуют.</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Если банк выдает либо продает нерезиденту вексель за получаемые от него белорусские рубли, то их перечисление согласно п. 23 Правил № 72 должно осуществляться со счета нерезидента, открытого в белорусских рублях в банке Республики Беларусь, либо со счета нерезидента, открытого в банке-нерезиденте иностранного государства, с которым имеется соответствующий международный договор об использовании в расчетах национальных валют, если этот нерезидент, является субъектом валютных операций данного государства. При отсутствии возможности выполнить данное требование стороны вправе предусмотреть в договоре иную валюту расчетов.</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Здесь также следует отметить, что при выдаче банками векселей, номинированных в иностранной валюте, теперь не действует ограничение на расчет за выдаваемый банком вексель, номинированный в иностранной валюте и содержащий оговорку эффективного платежа в иностранной валюте, только в валюте номинала векселя.</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При выдаче банком векселя нерезиденту в порядке новации происходит прекращение первоначального обязательства между сторонами путем замены его новым обязательством между этими же лицами, но уже по векселю. В этой связи при проведении данной операции банку необходимо учитывать требования п. 8 Правил № 72, определяющие возможность изменения валюты обязательств между резидентами и нерезидентами (кроме операций экспорта/импорта и банковских операций). Согласно нормам названного пункта банк не может выдать вексель, номинированный в иностранной валюте, в качестве новации для прекращения своего обязательства перед нерезидентом, выраженного в белорусских рублях.</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Банки также не лишены права выдавать векселя за полученные от нерезидента товары (работы, услуги). Данная операция с точки зрения валютного регулирования имеет двойственный характер. С одной стороны, мы имеем операцию с ценной бумагой резидента, проводимую с участием нерезидента, что является согласно ст. 10 Закона № 226-З "капитальной" операцией. С другой стороны, здесь имеет место получение резидентом товара (работ, услуг) от нерезидента на возмездной основе, что является импортом по определению ст. 1 Закона № 226-З. За этот импорт банк произвел расчет с использованием векселя - ценной бумаги, выполнившей в данном случае функцию расчетного документа, что по определению ст. 5 Закона № 226-З является текущей валютной операцией 7  .</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Несмотря на наличие данной юридической коллизии, проведение такой операции не сопряжено с большими сложностями. Первое, что необходимо принимать во внимание, это какую валюту номинала банк вправе указать на векселе. На этот вопрос, как было описано выше, отвечает п. 24 Правил № 72.</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Второй важный момент связан с тем, что если операция является текущей, то никаких разрешений (лицензий) на ее проведение не требуется, если же она относится к "капитальной", то в соответствии с п. 21, 22 Правил № 72 она проводится банком в уведомительном порядке.</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Аналогичные рассуждения применимы и к случаю, когда банк за полученные от нерезидента товары (работы, услуги) передает ему вексель резидента. Если же банк по такой сделке решил "рассчитаться" векселем нерезидента, то такая операция, исходя из норм Закона о векселе, должна рассматриваться как текущая, если срок платежа по векселю обеспечивает уплату денежных средств не позднее 180 дней с даты поступления товара (выполнения работ, оказания услуг), иначе операция будет считаться "капитальной".</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Передача банком нерезиденту векселя в качестве отступного либо в залог не сопряжена ни с какими ограничениями со стороны валютного законодательства ни в части валюты номинала передаваемого векселя, ни в части валюты обязательства, прекращаемого отступным, либо обязательства, исполнение которого обеспечивается залогом векселя. Исключение составляет ситуация, когда предметом таких сделок выступает вексель, по которому совершающий операцию банк является векселедателем либо акцептантом. В этом случае можно говорить о наличии денежного обязательства между резидентом и нерезидентом, требования к валюте выражения которого содержатся в п. 24 Правил № 72.</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Оплата векселя банком нерезиденту является "капитальной" операцией проводимой в уведомительном порядке.</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Если вексель банка номинирован в белорусских рублях, то при осуществлении платежа по векселю следует руководствоваться нормами п. 23 Правил № 72.</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При наличии заключенных со страной регистрации нерезидента международных договоров, предусматривающих возможность расчетов в белорусских рублях, вексель может быть оплачен в валюте номинала на счет нерезидента, открытый в банке, либо на счет этого нерезидента в банке иностранного государства по месту его регистрации. При отсутствии таких международных соглашений со страной регистрации нерезидента белорусские рубли в счет платежа по векселю могут быть перечислены только на счет нерезидента, открытый банке.</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Если же нерезидент не имеет подобного счета, то стороны могут урегулировать свои отношения путем соглашения об отступном (прекратить вексельное обязательство банка уплатой держателю необходимой суммы в той валюте, расчеты в которой допускаются законодательством).</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Вексель банка, номинированный в иностранной валюте, без оговорки эффективного платежа в иностранной валюте, предъявленный к платежу нерезидентом, исходя из ст. 41 Закона о векселе, может быть оплачен банком либо в валюте номинала, либо белорусскими рублями по курсу Нацбанка на день наступления срока платежа. В случае если иностранной валютой, в которой номинирован вексель, является валюта, предусмотренная п. 24 Правил № 72, то банк может оплатить такой вексель в валюте номинала без ограничений. Если же валюта номинала не попадает в перечень, вытекающий из данного пункта, то следует оплатить его нерезиденту в валюте номинала.</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Возможность и порядок использования белорусских рублей при расчетах с нерезидентом были изложены выше.</w:t>
      </w:r>
    </w:p>
    <w:p w:rsidR="00590D81"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Если вексель банка, номинированный в иностранной валюте, содержит оговорку эффективного платежа, то банк должен совершить платеж в валюте номинала векселя. Если валюта номинала соответствует п. 24 Правил № 72, то проблем при оплате банком векселя не возникает. Иначе можно предложить прекратить обязательство по векселю другим способом, как было описано выше.</w:t>
      </w:r>
    </w:p>
    <w:p w:rsidR="00AC289C" w:rsidRPr="00B97385" w:rsidRDefault="00590D81" w:rsidP="00590D81">
      <w:pPr>
        <w:autoSpaceDE w:val="0"/>
        <w:autoSpaceDN w:val="0"/>
        <w:adjustRightInd w:val="0"/>
        <w:spacing w:line="360" w:lineRule="auto"/>
        <w:ind w:firstLine="709"/>
        <w:jc w:val="both"/>
        <w:rPr>
          <w:rFonts w:cs="Arial"/>
          <w:bCs/>
          <w:caps/>
          <w:kern w:val="28"/>
          <w:sz w:val="28"/>
          <w:szCs w:val="18"/>
        </w:rPr>
      </w:pPr>
      <w:r>
        <w:rPr>
          <w:rFonts w:cs="Tahoma"/>
          <w:kern w:val="28"/>
          <w:sz w:val="28"/>
          <w:szCs w:val="18"/>
        </w:rPr>
        <w:br w:type="page"/>
      </w:r>
      <w:r w:rsidR="00AC289C" w:rsidRPr="00B97385">
        <w:rPr>
          <w:rFonts w:cs="Arial"/>
          <w:bCs/>
          <w:caps/>
          <w:kern w:val="28"/>
          <w:sz w:val="28"/>
          <w:szCs w:val="18"/>
        </w:rPr>
        <w:t>Получение банками векселей от нерезидента</w:t>
      </w:r>
    </w:p>
    <w:p w:rsidR="00590D81" w:rsidRDefault="00590D81" w:rsidP="00590D81">
      <w:pPr>
        <w:autoSpaceDE w:val="0"/>
        <w:autoSpaceDN w:val="0"/>
        <w:adjustRightInd w:val="0"/>
        <w:spacing w:line="360" w:lineRule="auto"/>
        <w:ind w:firstLine="709"/>
        <w:jc w:val="both"/>
        <w:rPr>
          <w:rFonts w:cs="Tahoma"/>
          <w:kern w:val="28"/>
          <w:sz w:val="28"/>
          <w:szCs w:val="18"/>
        </w:rPr>
      </w:pP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По определению ст. 5 и 7 Закона № 226-З приобретение любого векселя от нерезидента является "капитальной" операцией, осуществляемой в уведомительном порядке. Исключение составляют случаи получения векселя от нерезидента (на первичном либо вторичном рынке) за переданные ему товары (выполненные работы, оказанные услуги) при условии, что срок платежа по ценной бумаге обеспечивает поступление денежных средств не позднее 180 дней с даты отгрузки товара (выполнения работ, оказания услуг). Такая операция валютным законодательством позиционируется как осуществление расчетов по экспорту с использованием ценных бумаг, выполняющих функции расчетного документа.</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 качестве первого векселедержателя банки вправе получать векселя от нерезидентов только если это допускается п. 9 Правил № 115 8  и если валюта номинала векселя соответствует требованиям п. 24 Правил № 72. На вторичном рынке второе требование должно выполняться при получении от нерезидента векселя, по которому он является векселедателем либо акцептантом.</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При получении банком векселя от нерезидента в порядке новации необходимо также учитывать требования п. 8 Правил № 72, не допускающие изменения денежных обязательств нерезидента, выраженных в иностранной валюте, на денежные обязательства в белорусских рублях. В этой связи банк не вправе получить от нерезидента вексель, номинированный в белорусских рублях, в качестве новации для прекращения обязательства перед банком, выраженного в иностранной валюте.</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Иных требований к вышеописанным операциям отечественное валютное и вексельное законодательство не содержит.</w:t>
      </w:r>
    </w:p>
    <w:p w:rsidR="00AC289C" w:rsidRPr="00B97385" w:rsidRDefault="00590D81" w:rsidP="00590D81">
      <w:pPr>
        <w:autoSpaceDE w:val="0"/>
        <w:autoSpaceDN w:val="0"/>
        <w:adjustRightInd w:val="0"/>
        <w:spacing w:line="360" w:lineRule="auto"/>
        <w:ind w:firstLine="709"/>
        <w:jc w:val="both"/>
        <w:rPr>
          <w:rFonts w:cs="Arial"/>
          <w:bCs/>
          <w:caps/>
          <w:kern w:val="28"/>
          <w:sz w:val="28"/>
          <w:szCs w:val="18"/>
        </w:rPr>
      </w:pPr>
      <w:r>
        <w:rPr>
          <w:rFonts w:cs="Arial"/>
          <w:bCs/>
          <w:caps/>
          <w:kern w:val="28"/>
          <w:sz w:val="28"/>
          <w:szCs w:val="18"/>
        </w:rPr>
        <w:br w:type="page"/>
      </w:r>
      <w:r w:rsidR="00AC289C" w:rsidRPr="00B97385">
        <w:rPr>
          <w:rFonts w:cs="Arial"/>
          <w:bCs/>
          <w:caps/>
          <w:kern w:val="28"/>
          <w:sz w:val="28"/>
          <w:szCs w:val="18"/>
        </w:rPr>
        <w:t>Предъявление к платежу векселя нерезидента</w:t>
      </w:r>
    </w:p>
    <w:p w:rsidR="00590D81" w:rsidRDefault="00590D81" w:rsidP="00590D81">
      <w:pPr>
        <w:autoSpaceDE w:val="0"/>
        <w:autoSpaceDN w:val="0"/>
        <w:adjustRightInd w:val="0"/>
        <w:spacing w:line="360" w:lineRule="auto"/>
        <w:ind w:firstLine="709"/>
        <w:jc w:val="both"/>
        <w:rPr>
          <w:rFonts w:cs="Tahoma"/>
          <w:kern w:val="28"/>
          <w:sz w:val="28"/>
          <w:szCs w:val="18"/>
        </w:rPr>
      </w:pP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 xml:space="preserve">Согласно ст. 8 Женевской конвенции </w:t>
      </w:r>
      <w:smartTag w:uri="urn:schemas-microsoft-com:office:smarttags" w:element="metricconverter">
        <w:smartTagPr>
          <w:attr w:name="ProductID" w:val="1930 г"/>
        </w:smartTagPr>
        <w:r w:rsidRPr="00B97385">
          <w:rPr>
            <w:rFonts w:cs="Tahoma"/>
            <w:kern w:val="28"/>
            <w:sz w:val="28"/>
            <w:szCs w:val="18"/>
          </w:rPr>
          <w:t>1930 г</w:t>
        </w:r>
      </w:smartTag>
      <w:r w:rsidRPr="00B97385">
        <w:rPr>
          <w:rFonts w:cs="Tahoma"/>
          <w:kern w:val="28"/>
          <w:sz w:val="28"/>
          <w:szCs w:val="18"/>
        </w:rPr>
        <w:t>., имеющей целью разрешение некоторых коллизий законов о переводных и простых векселях, форма действий, необходимых для осуществления или сохранения прав по векселю, определяются законами той страны, на территории которой эти действия должны быть совершены. Это означает, что порядок предъявления векселя к платежу определяется законами местности, указанной на векселе в качестве места платежа.</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 xml:space="preserve">Однако стоит оговориться, что хотя многие страны унифицировали свое вексельное законодательство на основе Женевской вексельной конвенции </w:t>
      </w:r>
      <w:smartTag w:uri="urn:schemas-microsoft-com:office:smarttags" w:element="metricconverter">
        <w:smartTagPr>
          <w:attr w:name="ProductID" w:val="1930 г"/>
        </w:smartTagPr>
        <w:r w:rsidRPr="00B97385">
          <w:rPr>
            <w:rFonts w:cs="Tahoma"/>
            <w:kern w:val="28"/>
            <w:sz w:val="28"/>
            <w:szCs w:val="18"/>
          </w:rPr>
          <w:t>1930 г</w:t>
        </w:r>
      </w:smartTag>
      <w:r w:rsidRPr="00B97385">
        <w:rPr>
          <w:rFonts w:cs="Tahoma"/>
          <w:kern w:val="28"/>
          <w:sz w:val="28"/>
          <w:szCs w:val="18"/>
        </w:rPr>
        <w:t>., или использовали их в своем национальном вексельном законодательстве в качестве примерного закона, ряд стран составляют другую систему вексельного права - англо-американскую 9  . Самостоятельную группу образуют страны, чье вексельное законодательство не входит ни в одну из двух вышеперечисленных систем права и не основано на каком-либо одном, общем для всех этих стран вексельном законе. Все это создает для держателей векселей нерезидентов необходимость владения информацией о порядке получения платежа по векселю в зависимости от страны резидентства плательщика по векселю и места платежа.</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Опуская подробное описание процедурных различий при предъявлении векселей к платежу, сроков для их предъявления, последствия пропусков этих сроков и т.п. по причине того, что данная тема достаточно объемная, а также потому, что случаи появления на рынке векселей из "экзотических" стран редки, все же необходимо коснуться валютного аспекта данной проблемы.</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 соответствии с действующими вексельными законами сумма векселя должна обозначать определенную сумму денег, т.е. законного платежного средства какого-либо государства. Оплата векселя должна совершаться, как правило, в той валюте, в какой выражена его сумма. Вместе с тем вексельные законы содержат специальные положения относительно платежа по векселям, сумма которых выражена в иностранной валюте по отношению к месту оплаты векселя.</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 xml:space="preserve">Согласно Единообразному закону о переводном и простом векселе (далее - ЕВЗ), установленном Женевской конвенцией </w:t>
      </w:r>
      <w:smartTag w:uri="urn:schemas-microsoft-com:office:smarttags" w:element="metricconverter">
        <w:smartTagPr>
          <w:attr w:name="ProductID" w:val="1930 г"/>
        </w:smartTagPr>
        <w:r w:rsidRPr="00B97385">
          <w:rPr>
            <w:rFonts w:cs="Tahoma"/>
            <w:kern w:val="28"/>
            <w:sz w:val="28"/>
            <w:szCs w:val="18"/>
          </w:rPr>
          <w:t>1930 г</w:t>
        </w:r>
      </w:smartTag>
      <w:r w:rsidRPr="00B97385">
        <w:rPr>
          <w:rFonts w:cs="Tahoma"/>
          <w:kern w:val="28"/>
          <w:sz w:val="28"/>
          <w:szCs w:val="18"/>
        </w:rPr>
        <w:t>., если вексель выписан в валюте, не имеющей хождения в месте платежа, то сумма его может быть уплачена в местной валюте по курсу на день наступления срока платежа. Если должник просрочил платеж, то держатель может, по своему усмотрению, потребовать, чтобы сумма векселя была выплачена в местной валюте по курсу либо на день наступления срока платежа, либо на день произведенного платежа.</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Курс иностранной валюты определяется согласно правилам, действующим в месте платежа, однако держатель может обусловить, что подлежащая оплате сумма будет исчислена по курсу, обозначенному в векселе. В случае если держатель обусловил, что платеж должен быть совершен в определенной, указанной в векселе валюте (оговорка эффективного платежа в какой-либо иностранной валюте), вышеуказанные правила вообще не применяются, т.е. платеж должен быть совершен в обозначенной в векселе иностранной валюте и, следовательно, вопрос о курсе вообще не возникает (ст. 41 ЕВЗ).</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Поскольку предусмотренное ст. 41 ЕВЗ правило об эффективном (обязательном) платеже в иностранной валюте затрагивает вопросы, которые регулируются национальным валютным законодательством, Женевская вексельная конвенция (ст. 7 приложения 11) предусматривает важную оговорку, согласно которой каждая страна - участница конвенции имеет право, если сочтет это нужным, в исключительных обстоятельствах, касающихся курса валюты этого государства, отступить от условия, предусмотренного в ст. 41 ЕВЗ в отношении эффективного платежа в иностранной валюте по векселям с платежом на ее территории или составленным на ее территории.</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Отечественный законодатель таким правом не воспользовался, но это не значит, что в других присоединившихся к Женевской конвенции странах ст. 41 ЕВЗ действует в чистом виде. Это следует обязательно принимать в расчет при определении возможной валюты платежа по векселю нерезидента.</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Например, положение ст. 41 ЕВЗ об эффективной оплате векселей в валюте, не являющейся валютой места платежа, может подпадать под правила валютного контроля страны - участницы конвенции, налагающие ограничения на платежи в иностранной валюте.</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 xml:space="preserve">В английском законе предусмотрено, что если вексель выдан за границей, но с платежом в Соединенном Королевстве, и сумма платежа по векселю не выражена в валюте Соединенного Королевства, то сумма, при отсутствии особых указаний, должна быть вычислена по курсу для переводных векселей по предъявлении в месте платежа в день оплаты векселя, т.е. должна быть выплачена в фунтах стерлингов (ст. 72 Закона о переводных векселях </w:t>
      </w:r>
      <w:smartTag w:uri="urn:schemas-microsoft-com:office:smarttags" w:element="metricconverter">
        <w:smartTagPr>
          <w:attr w:name="ProductID" w:val="1882 г"/>
        </w:smartTagPr>
        <w:r w:rsidRPr="00B97385">
          <w:rPr>
            <w:rFonts w:cs="Tahoma"/>
            <w:kern w:val="28"/>
            <w:sz w:val="28"/>
            <w:szCs w:val="18"/>
          </w:rPr>
          <w:t>1882 г</w:t>
        </w:r>
      </w:smartTag>
      <w:r w:rsidRPr="00B97385">
        <w:rPr>
          <w:rFonts w:cs="Tahoma"/>
          <w:kern w:val="28"/>
          <w:sz w:val="28"/>
          <w:szCs w:val="18"/>
        </w:rPr>
        <w:t>.).</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В соответствии с американским законом обещание или приказ уплатить определенную сумму, выраженную в иностранной валюте, является обещанием или приказом уплатить определенную сумму в деньгах, которые, если в векселе не предусмотрено иное средство платежа, могут быть выполнены путем уплаты долларов по чековому курсу, действующему в срок платежа по векселю. Если же вексель предусматривает иностранную валюту в качестве средства платежа, он должен быть оплачен в этой валюте (ст. 3-1007 Единообразного Торгового Кодекса).</w:t>
      </w:r>
    </w:p>
    <w:p w:rsidR="00AC289C" w:rsidRPr="00B97385" w:rsidRDefault="00AC289C" w:rsidP="00590D81">
      <w:pPr>
        <w:autoSpaceDE w:val="0"/>
        <w:autoSpaceDN w:val="0"/>
        <w:adjustRightInd w:val="0"/>
        <w:spacing w:line="360" w:lineRule="auto"/>
        <w:ind w:firstLine="709"/>
        <w:jc w:val="both"/>
        <w:rPr>
          <w:rFonts w:cs="Tahoma"/>
          <w:kern w:val="28"/>
          <w:sz w:val="28"/>
          <w:szCs w:val="18"/>
        </w:rPr>
      </w:pPr>
      <w:r w:rsidRPr="00B97385">
        <w:rPr>
          <w:rFonts w:cs="Tahoma"/>
          <w:kern w:val="28"/>
          <w:sz w:val="28"/>
          <w:szCs w:val="18"/>
        </w:rPr>
        <w:t>Также при предъявлении к платежу либо к акцепту векселя нерезидента необходимо руководствоваться Инструкцией о порядке совершения банковских документарных операций, утвержденной постановлением Правления Национального банка Республики Беларусь от 29.03.2001 № 67.</w:t>
      </w:r>
    </w:p>
    <w:p w:rsidR="00AC289C" w:rsidRPr="0093083A" w:rsidRDefault="00AC289C" w:rsidP="00590D81">
      <w:pPr>
        <w:pStyle w:val="a6"/>
        <w:tabs>
          <w:tab w:val="left" w:pos="142"/>
        </w:tabs>
        <w:spacing w:after="0" w:line="360" w:lineRule="auto"/>
        <w:jc w:val="both"/>
        <w:rPr>
          <w:b/>
          <w:kern w:val="28"/>
          <w:sz w:val="28"/>
          <w:szCs w:val="28"/>
        </w:rPr>
      </w:pPr>
      <w:r>
        <w:br w:type="page"/>
      </w:r>
      <w:r w:rsidRPr="004165B8">
        <w:rPr>
          <w:b/>
          <w:kern w:val="28"/>
          <w:sz w:val="28"/>
          <w:szCs w:val="28"/>
        </w:rPr>
        <w:t>Список использованных источников</w:t>
      </w:r>
    </w:p>
    <w:p w:rsidR="00AC289C" w:rsidRPr="0012709A" w:rsidRDefault="00AC289C" w:rsidP="00590D81">
      <w:pPr>
        <w:pStyle w:val="a6"/>
        <w:tabs>
          <w:tab w:val="left" w:pos="142"/>
        </w:tabs>
        <w:spacing w:after="0" w:line="360" w:lineRule="auto"/>
        <w:jc w:val="both"/>
        <w:rPr>
          <w:kern w:val="28"/>
          <w:sz w:val="28"/>
          <w:szCs w:val="28"/>
        </w:rPr>
      </w:pPr>
    </w:p>
    <w:p w:rsidR="00AC289C" w:rsidRPr="0012709A" w:rsidRDefault="00AC289C" w:rsidP="00590D81">
      <w:pPr>
        <w:numPr>
          <w:ilvl w:val="0"/>
          <w:numId w:val="2"/>
        </w:numPr>
        <w:tabs>
          <w:tab w:val="left" w:pos="142"/>
        </w:tabs>
        <w:spacing w:line="360" w:lineRule="auto"/>
        <w:ind w:left="0" w:firstLine="0"/>
        <w:jc w:val="both"/>
        <w:rPr>
          <w:kern w:val="28"/>
          <w:sz w:val="28"/>
          <w:szCs w:val="28"/>
        </w:rPr>
      </w:pPr>
      <w:r w:rsidRPr="0012709A">
        <w:rPr>
          <w:sz w:val="28"/>
          <w:szCs w:val="28"/>
        </w:rPr>
        <w:t>Конституция Республики Беларусь 1994 года. Принята на республиканском референдуме 24 ноября 1996 года (с изменениями и дополнениями, принятыми на республиканских референдумах 24 ноября 1996г. и 17 октября 2004г.) Минск «Беларусь» 2004г.</w:t>
      </w:r>
    </w:p>
    <w:p w:rsidR="00AC289C" w:rsidRPr="0012709A" w:rsidRDefault="00AC289C" w:rsidP="00590D81">
      <w:pPr>
        <w:numPr>
          <w:ilvl w:val="0"/>
          <w:numId w:val="2"/>
        </w:numPr>
        <w:tabs>
          <w:tab w:val="left" w:pos="142"/>
        </w:tabs>
        <w:spacing w:line="360" w:lineRule="auto"/>
        <w:ind w:left="0" w:firstLine="0"/>
        <w:jc w:val="both"/>
        <w:rPr>
          <w:kern w:val="28"/>
          <w:sz w:val="28"/>
          <w:szCs w:val="28"/>
        </w:rPr>
      </w:pPr>
      <w:r w:rsidRPr="0012709A">
        <w:rPr>
          <w:rFonts w:cs="Courier New"/>
          <w:kern w:val="28"/>
          <w:sz w:val="28"/>
          <w:szCs w:val="28"/>
        </w:rPr>
        <w:t xml:space="preserve">Налоговый кодекс Республики Беларусь от </w:t>
      </w:r>
      <w:r w:rsidRPr="0012709A">
        <w:rPr>
          <w:iCs/>
          <w:kern w:val="28"/>
          <w:sz w:val="28"/>
          <w:szCs w:val="28"/>
        </w:rPr>
        <w:t>19 декабря 2002 г. « 166-З. Принят Палатой</w:t>
      </w:r>
      <w:r w:rsidRPr="00F0085B">
        <w:rPr>
          <w:iCs/>
          <w:kern w:val="28"/>
          <w:sz w:val="28"/>
          <w:szCs w:val="28"/>
        </w:rPr>
        <w:t xml:space="preserve"> представителей 15 ноября 2002 года</w:t>
      </w:r>
      <w:r>
        <w:rPr>
          <w:iCs/>
          <w:kern w:val="28"/>
          <w:sz w:val="28"/>
          <w:szCs w:val="28"/>
        </w:rPr>
        <w:t xml:space="preserve">. </w:t>
      </w:r>
      <w:r w:rsidRPr="00F0085B">
        <w:rPr>
          <w:iCs/>
          <w:kern w:val="28"/>
          <w:sz w:val="28"/>
          <w:szCs w:val="28"/>
        </w:rPr>
        <w:t>Одобрен Советом Республики 2 декабря 2002 года</w:t>
      </w:r>
      <w:r>
        <w:rPr>
          <w:iCs/>
          <w:kern w:val="28"/>
          <w:sz w:val="28"/>
          <w:szCs w:val="28"/>
        </w:rPr>
        <w:t xml:space="preserve">. </w:t>
      </w:r>
      <w:r w:rsidRPr="00F0085B">
        <w:rPr>
          <w:iCs/>
          <w:kern w:val="28"/>
          <w:sz w:val="28"/>
          <w:szCs w:val="28"/>
        </w:rPr>
        <w:t xml:space="preserve">(Национальный реестр правовых актов Республики Беларусь, 13.01.2003, </w:t>
      </w:r>
      <w:r>
        <w:rPr>
          <w:iCs/>
          <w:kern w:val="28"/>
          <w:sz w:val="28"/>
          <w:szCs w:val="28"/>
        </w:rPr>
        <w:t>№</w:t>
      </w:r>
      <w:r w:rsidRPr="00F0085B">
        <w:rPr>
          <w:iCs/>
          <w:kern w:val="28"/>
          <w:sz w:val="28"/>
          <w:szCs w:val="28"/>
        </w:rPr>
        <w:t xml:space="preserve"> 4, рег. </w:t>
      </w:r>
      <w:r>
        <w:rPr>
          <w:iCs/>
          <w:kern w:val="28"/>
          <w:sz w:val="28"/>
          <w:szCs w:val="28"/>
        </w:rPr>
        <w:t>№</w:t>
      </w:r>
      <w:r w:rsidRPr="00F0085B">
        <w:rPr>
          <w:iCs/>
          <w:kern w:val="28"/>
          <w:sz w:val="28"/>
          <w:szCs w:val="28"/>
        </w:rPr>
        <w:t xml:space="preserve"> 2/920 от 02.01.2003)</w:t>
      </w:r>
      <w:r>
        <w:rPr>
          <w:iCs/>
          <w:kern w:val="28"/>
          <w:sz w:val="28"/>
          <w:szCs w:val="28"/>
        </w:rPr>
        <w:t>.</w:t>
      </w:r>
    </w:p>
    <w:p w:rsidR="00AC289C" w:rsidRDefault="00AC289C" w:rsidP="00590D81">
      <w:pPr>
        <w:numPr>
          <w:ilvl w:val="0"/>
          <w:numId w:val="2"/>
        </w:numPr>
        <w:tabs>
          <w:tab w:val="left" w:pos="142"/>
        </w:tabs>
        <w:spacing w:line="360" w:lineRule="auto"/>
        <w:ind w:left="0" w:firstLine="0"/>
        <w:jc w:val="both"/>
        <w:rPr>
          <w:kern w:val="28"/>
          <w:sz w:val="28"/>
          <w:szCs w:val="28"/>
        </w:rPr>
      </w:pPr>
      <w:r>
        <w:rPr>
          <w:kern w:val="28"/>
          <w:sz w:val="28"/>
          <w:szCs w:val="28"/>
        </w:rPr>
        <w:t>Закон Республики Беларусь от 22 июля 2003 года №226-3 «О валютном регулировании и валютном контроле». Принят Палатой представителей 25 июня 2003 года. Одобрен Советом Республики 30 июня 2003 года.</w:t>
      </w:r>
    </w:p>
    <w:p w:rsidR="00AC289C" w:rsidRPr="0012709A" w:rsidRDefault="00AC289C" w:rsidP="00590D81">
      <w:pPr>
        <w:numPr>
          <w:ilvl w:val="0"/>
          <w:numId w:val="2"/>
        </w:numPr>
        <w:tabs>
          <w:tab w:val="left" w:pos="142"/>
        </w:tabs>
        <w:spacing w:line="360" w:lineRule="auto"/>
        <w:ind w:left="0" w:firstLine="0"/>
        <w:jc w:val="both"/>
        <w:rPr>
          <w:kern w:val="28"/>
          <w:sz w:val="28"/>
          <w:szCs w:val="28"/>
        </w:rPr>
      </w:pPr>
      <w:r w:rsidRPr="00B94CD6">
        <w:rPr>
          <w:kern w:val="28"/>
          <w:sz w:val="28"/>
          <w:szCs w:val="28"/>
        </w:rPr>
        <w:t xml:space="preserve">О внесении изменений и дополнений в закон Республики Беларусь «О бюджетной системе Республики Беларусь». Закон Республики Беларусь </w:t>
      </w:r>
      <w:r w:rsidRPr="00B94CD6">
        <w:rPr>
          <w:iCs/>
          <w:kern w:val="28"/>
          <w:sz w:val="28"/>
          <w:szCs w:val="28"/>
        </w:rPr>
        <w:t>15 июля 1998 г. N 192-З Принят Палатой представителей 25 июня 1998 года</w:t>
      </w:r>
      <w:r>
        <w:rPr>
          <w:iCs/>
          <w:kern w:val="28"/>
          <w:sz w:val="28"/>
          <w:szCs w:val="28"/>
        </w:rPr>
        <w:t>.</w:t>
      </w:r>
      <w:r w:rsidRPr="00B94CD6">
        <w:rPr>
          <w:iCs/>
          <w:kern w:val="28"/>
          <w:sz w:val="28"/>
          <w:szCs w:val="28"/>
        </w:rPr>
        <w:t xml:space="preserve"> Одобрен Советом Республики 30 июня 1998 года (Ведомости Национального собрания Республики Беларусь, 1998 г., N 34, ст. 476)</w:t>
      </w:r>
      <w:r>
        <w:rPr>
          <w:iCs/>
          <w:kern w:val="28"/>
          <w:sz w:val="28"/>
          <w:szCs w:val="28"/>
        </w:rPr>
        <w:t>.</w:t>
      </w:r>
    </w:p>
    <w:p w:rsidR="00AC289C" w:rsidRDefault="00AC289C" w:rsidP="00590D81">
      <w:pPr>
        <w:numPr>
          <w:ilvl w:val="0"/>
          <w:numId w:val="2"/>
        </w:numPr>
        <w:tabs>
          <w:tab w:val="left" w:pos="142"/>
        </w:tabs>
        <w:spacing w:line="360" w:lineRule="auto"/>
        <w:ind w:left="0" w:firstLine="0"/>
        <w:jc w:val="both"/>
        <w:rPr>
          <w:kern w:val="28"/>
          <w:sz w:val="28"/>
          <w:szCs w:val="28"/>
        </w:rPr>
      </w:pPr>
      <w:r>
        <w:rPr>
          <w:kern w:val="28"/>
          <w:sz w:val="28"/>
          <w:szCs w:val="28"/>
        </w:rPr>
        <w:t>Л.А. Ханкевич</w:t>
      </w:r>
      <w:r>
        <w:rPr>
          <w:bCs/>
          <w:kern w:val="28"/>
          <w:sz w:val="28"/>
          <w:szCs w:val="28"/>
        </w:rPr>
        <w:t xml:space="preserve"> </w:t>
      </w:r>
      <w:r>
        <w:rPr>
          <w:kern w:val="28"/>
          <w:sz w:val="28"/>
          <w:szCs w:val="28"/>
        </w:rPr>
        <w:t>«Финансовое право Республики Беларусь». Учебное пособие / Мн. Издательство «Амалфея» 2002г.</w:t>
      </w:r>
    </w:p>
    <w:p w:rsidR="00AC289C" w:rsidRDefault="00AC289C" w:rsidP="00590D81">
      <w:pPr>
        <w:numPr>
          <w:ilvl w:val="0"/>
          <w:numId w:val="2"/>
        </w:numPr>
        <w:tabs>
          <w:tab w:val="left" w:pos="142"/>
        </w:tabs>
        <w:spacing w:line="360" w:lineRule="auto"/>
        <w:ind w:left="0" w:firstLine="0"/>
        <w:jc w:val="both"/>
        <w:rPr>
          <w:kern w:val="28"/>
          <w:sz w:val="28"/>
          <w:szCs w:val="28"/>
        </w:rPr>
      </w:pPr>
      <w:r>
        <w:rPr>
          <w:kern w:val="28"/>
          <w:sz w:val="28"/>
          <w:szCs w:val="28"/>
        </w:rPr>
        <w:t>Финансовое право. Учебник / Под ред. проф. О.Н. Горбуновой Издательство «Юристъ» М., 2003.</w:t>
      </w:r>
    </w:p>
    <w:p w:rsidR="00AC289C" w:rsidRDefault="00AC289C" w:rsidP="00590D81">
      <w:pPr>
        <w:numPr>
          <w:ilvl w:val="0"/>
          <w:numId w:val="2"/>
        </w:numPr>
        <w:tabs>
          <w:tab w:val="left" w:pos="142"/>
        </w:tabs>
        <w:spacing w:line="360" w:lineRule="auto"/>
        <w:ind w:left="0" w:firstLine="0"/>
        <w:jc w:val="both"/>
        <w:rPr>
          <w:kern w:val="28"/>
          <w:sz w:val="28"/>
          <w:szCs w:val="28"/>
        </w:rPr>
      </w:pPr>
      <w:r>
        <w:rPr>
          <w:kern w:val="28"/>
          <w:sz w:val="28"/>
          <w:szCs w:val="28"/>
        </w:rPr>
        <w:t>Финансовое право. Серия «Учебники, учебные пособия» / Под ред. проф. В.М. Мандрина Ростов-на-Дону Издательство «Феникс», 2002.</w:t>
      </w:r>
    </w:p>
    <w:p w:rsidR="0072715E" w:rsidRDefault="0072715E" w:rsidP="00590D81">
      <w:pPr>
        <w:tabs>
          <w:tab w:val="left" w:pos="142"/>
        </w:tabs>
        <w:spacing w:line="360" w:lineRule="auto"/>
        <w:jc w:val="both"/>
      </w:pPr>
    </w:p>
    <w:p w:rsidR="001720FD" w:rsidRDefault="001720FD" w:rsidP="00590D81">
      <w:pPr>
        <w:tabs>
          <w:tab w:val="left" w:pos="142"/>
        </w:tabs>
        <w:spacing w:line="360" w:lineRule="auto"/>
        <w:jc w:val="both"/>
      </w:pPr>
      <w:bookmarkStart w:id="0" w:name="_GoBack"/>
      <w:bookmarkEnd w:id="0"/>
    </w:p>
    <w:sectPr w:rsidR="001720FD" w:rsidSect="00590D81">
      <w:headerReference w:type="even" r:id="rId7"/>
      <w:headerReference w:type="default" r:id="rId8"/>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173C" w:rsidRDefault="00A3173C">
      <w:r>
        <w:separator/>
      </w:r>
    </w:p>
  </w:endnote>
  <w:endnote w:type="continuationSeparator" w:id="0">
    <w:p w:rsidR="00A3173C" w:rsidRDefault="00A317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173C" w:rsidRDefault="00A3173C">
      <w:r>
        <w:separator/>
      </w:r>
    </w:p>
  </w:footnote>
  <w:footnote w:type="continuationSeparator" w:id="0">
    <w:p w:rsidR="00A3173C" w:rsidRDefault="00A317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715E" w:rsidRDefault="0072715E" w:rsidP="00ED13F6">
    <w:pPr>
      <w:pStyle w:val="a3"/>
      <w:framePr w:wrap="around" w:vAnchor="text" w:hAnchor="margin" w:xAlign="right" w:y="1"/>
      <w:rPr>
        <w:rStyle w:val="a5"/>
      </w:rPr>
    </w:pPr>
  </w:p>
  <w:p w:rsidR="0072715E" w:rsidRDefault="0072715E" w:rsidP="0072715E">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715E" w:rsidRDefault="00F27736" w:rsidP="00ED13F6">
    <w:pPr>
      <w:pStyle w:val="a3"/>
      <w:framePr w:wrap="around" w:vAnchor="text" w:hAnchor="margin" w:xAlign="right" w:y="1"/>
      <w:rPr>
        <w:rStyle w:val="a5"/>
      </w:rPr>
    </w:pPr>
    <w:r>
      <w:rPr>
        <w:rStyle w:val="a5"/>
        <w:noProof/>
      </w:rPr>
      <w:t>1</w:t>
    </w:r>
  </w:p>
  <w:p w:rsidR="0072715E" w:rsidRDefault="0072715E" w:rsidP="0072715E">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413EF7"/>
    <w:multiLevelType w:val="singleLevel"/>
    <w:tmpl w:val="96CA531C"/>
    <w:lvl w:ilvl="0">
      <w:start w:val="1"/>
      <w:numFmt w:val="decimal"/>
      <w:lvlText w:val="%1. "/>
      <w:legacy w:legacy="1" w:legacySpace="0" w:legacyIndent="283"/>
      <w:lvlJc w:val="left"/>
      <w:pPr>
        <w:ind w:left="283" w:hanging="283"/>
      </w:pPr>
      <w:rPr>
        <w:rFonts w:ascii="Times New Roman" w:hAnsi="Times New Roman" w:cs="Times New Roman" w:hint="default"/>
        <w:b w:val="0"/>
        <w:i w:val="0"/>
        <w:sz w:val="28"/>
      </w:rPr>
    </w:lvl>
  </w:abstractNum>
  <w:abstractNum w:abstractNumId="1">
    <w:nsid w:val="48C07DE2"/>
    <w:multiLevelType w:val="multilevel"/>
    <w:tmpl w:val="6C26F25F"/>
    <w:lvl w:ilvl="0">
      <w:numFmt w:val="bullet"/>
      <w:lvlText w:val="·"/>
      <w:lvlJc w:val="left"/>
      <w:pPr>
        <w:tabs>
          <w:tab w:val="num" w:pos="825"/>
        </w:tabs>
        <w:ind w:left="825" w:hanging="150"/>
      </w:pPr>
      <w:rPr>
        <w:rFonts w:ascii="Tahoma" w:hAnsi="Tahoma"/>
        <w:b/>
        <w:color w:val="000080"/>
        <w:sz w:val="16"/>
      </w:rPr>
    </w:lvl>
    <w:lvl w:ilvl="1">
      <w:numFmt w:val="bullet"/>
      <w:lvlText w:val=" "/>
      <w:lvlJc w:val="left"/>
      <w:pPr>
        <w:tabs>
          <w:tab w:val="num" w:pos="825"/>
        </w:tabs>
        <w:ind w:left="825" w:hanging="825"/>
      </w:pPr>
      <w:rPr>
        <w:rFonts w:ascii="Tahoma" w:hAnsi="Tahoma"/>
        <w:b/>
        <w:sz w:val="16"/>
      </w:rPr>
    </w:lvl>
    <w:lvl w:ilvl="2">
      <w:numFmt w:val="bullet"/>
      <w:lvlText w:val=" "/>
      <w:lvlJc w:val="left"/>
      <w:pPr>
        <w:tabs>
          <w:tab w:val="num" w:pos="825"/>
        </w:tabs>
        <w:ind w:left="825" w:hanging="825"/>
      </w:pPr>
      <w:rPr>
        <w:rFonts w:ascii="Tahoma" w:hAnsi="Tahoma"/>
        <w:b/>
        <w:sz w:val="16"/>
      </w:rPr>
    </w:lvl>
    <w:lvl w:ilvl="3">
      <w:numFmt w:val="bullet"/>
      <w:lvlText w:val=" "/>
      <w:lvlJc w:val="left"/>
      <w:pPr>
        <w:tabs>
          <w:tab w:val="num" w:pos="825"/>
        </w:tabs>
        <w:ind w:left="825" w:hanging="825"/>
      </w:pPr>
      <w:rPr>
        <w:rFonts w:ascii="Tahoma" w:hAnsi="Tahoma"/>
        <w:b/>
        <w:sz w:val="16"/>
      </w:rPr>
    </w:lvl>
    <w:lvl w:ilvl="4">
      <w:numFmt w:val="bullet"/>
      <w:lvlText w:val=" "/>
      <w:lvlJc w:val="left"/>
      <w:pPr>
        <w:tabs>
          <w:tab w:val="num" w:pos="825"/>
        </w:tabs>
        <w:ind w:left="825" w:hanging="825"/>
      </w:pPr>
      <w:rPr>
        <w:rFonts w:ascii="Tahoma" w:hAnsi="Tahoma"/>
        <w:b/>
        <w:sz w:val="16"/>
      </w:rPr>
    </w:lvl>
    <w:lvl w:ilvl="5">
      <w:numFmt w:val="bullet"/>
      <w:lvlText w:val=" "/>
      <w:lvlJc w:val="left"/>
      <w:pPr>
        <w:tabs>
          <w:tab w:val="num" w:pos="825"/>
        </w:tabs>
        <w:ind w:left="825" w:hanging="825"/>
      </w:pPr>
      <w:rPr>
        <w:rFonts w:ascii="Tahoma" w:hAnsi="Tahoma"/>
        <w:b/>
        <w:sz w:val="16"/>
      </w:rPr>
    </w:lvl>
    <w:lvl w:ilvl="6">
      <w:numFmt w:val="bullet"/>
      <w:lvlText w:val=" "/>
      <w:lvlJc w:val="left"/>
      <w:pPr>
        <w:tabs>
          <w:tab w:val="num" w:pos="825"/>
        </w:tabs>
        <w:ind w:left="825" w:hanging="825"/>
      </w:pPr>
      <w:rPr>
        <w:rFonts w:ascii="Tahoma" w:hAnsi="Tahoma"/>
        <w:b/>
        <w:sz w:val="16"/>
      </w:rPr>
    </w:lvl>
    <w:lvl w:ilvl="7">
      <w:numFmt w:val="bullet"/>
      <w:lvlText w:val=" "/>
      <w:lvlJc w:val="left"/>
      <w:pPr>
        <w:tabs>
          <w:tab w:val="num" w:pos="825"/>
        </w:tabs>
        <w:ind w:left="825" w:hanging="825"/>
      </w:pPr>
      <w:rPr>
        <w:rFonts w:ascii="Tahoma" w:hAnsi="Tahoma"/>
        <w:b/>
        <w:sz w:val="16"/>
      </w:rPr>
    </w:lvl>
    <w:lvl w:ilvl="8">
      <w:numFmt w:val="bullet"/>
      <w:lvlText w:val=" "/>
      <w:lvlJc w:val="left"/>
      <w:pPr>
        <w:tabs>
          <w:tab w:val="num" w:pos="825"/>
        </w:tabs>
        <w:ind w:left="825" w:hanging="825"/>
      </w:pPr>
      <w:rPr>
        <w:rFonts w:ascii="Tahoma" w:hAnsi="Tahoma"/>
        <w:b/>
        <w:sz w:val="16"/>
      </w:rPr>
    </w:lvl>
  </w:abstractNum>
  <w:num w:numId="1">
    <w:abstractNumId w:val="1"/>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715E"/>
    <w:rsid w:val="0012709A"/>
    <w:rsid w:val="001720FD"/>
    <w:rsid w:val="0026627A"/>
    <w:rsid w:val="00354EA2"/>
    <w:rsid w:val="004165B8"/>
    <w:rsid w:val="00590D81"/>
    <w:rsid w:val="005D7166"/>
    <w:rsid w:val="006D0CBF"/>
    <w:rsid w:val="0072715E"/>
    <w:rsid w:val="007B6738"/>
    <w:rsid w:val="0093083A"/>
    <w:rsid w:val="00A3173C"/>
    <w:rsid w:val="00AC289C"/>
    <w:rsid w:val="00B94CD6"/>
    <w:rsid w:val="00B97385"/>
    <w:rsid w:val="00ED13F6"/>
    <w:rsid w:val="00F0085B"/>
    <w:rsid w:val="00F277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7F8CA892-5FDF-4067-943D-7222A3D94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289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2715E"/>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72715E"/>
    <w:rPr>
      <w:rFonts w:cs="Times New Roman"/>
    </w:rPr>
  </w:style>
  <w:style w:type="paragraph" w:styleId="a6">
    <w:name w:val="Body Text"/>
    <w:basedOn w:val="a"/>
    <w:link w:val="a7"/>
    <w:uiPriority w:val="99"/>
    <w:rsid w:val="00AC289C"/>
    <w:pPr>
      <w:spacing w:after="120"/>
    </w:pPr>
  </w:style>
  <w:style w:type="character" w:customStyle="1" w:styleId="a7">
    <w:name w:val="Основной текст Знак"/>
    <w:link w:val="a6"/>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4441</Words>
  <Characters>25315</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ВАЛЮТНЫЕ ОПЕРАЦИИ БАНКОВ С ВЕКСЕЛЯМИ</vt:lpstr>
    </vt:vector>
  </TitlesOfParts>
  <Company>Microsoft</Company>
  <LinksUpToDate>false</LinksUpToDate>
  <CharactersWithSpaces>29697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ВАЛЮТНЫЕ ОПЕРАЦИИ БАНКОВ С ВЕКСЕЛЯМИ</dc:title>
  <dc:subject/>
  <dc:creator>Admin</dc:creator>
  <cp:keywords/>
  <dc:description/>
  <cp:lastModifiedBy>admin</cp:lastModifiedBy>
  <cp:revision>2</cp:revision>
  <dcterms:created xsi:type="dcterms:W3CDTF">2014-03-13T16:58:00Z</dcterms:created>
  <dcterms:modified xsi:type="dcterms:W3CDTF">2014-03-13T16:58:00Z</dcterms:modified>
</cp:coreProperties>
</file>