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E6" w:rsidRPr="000754E6" w:rsidRDefault="00EA73AF" w:rsidP="000754E6">
      <w:pPr>
        <w:pStyle w:val="2"/>
        <w:rPr>
          <w:kern w:val="28"/>
        </w:rPr>
      </w:pPr>
      <w:r w:rsidRPr="000754E6">
        <w:rPr>
          <w:kern w:val="28"/>
        </w:rPr>
        <w:t>Валютный контроль в 2010 году</w:t>
      </w:r>
    </w:p>
    <w:p w:rsidR="000754E6" w:rsidRDefault="000754E6" w:rsidP="000754E6">
      <w:pPr>
        <w:rPr>
          <w:kern w:val="28"/>
        </w:rPr>
      </w:pP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12 декабря 2009 года вступает в силу Закон Республики Беларусь от 03</w:t>
      </w:r>
      <w:r w:rsidR="000754E6">
        <w:rPr>
          <w:kern w:val="28"/>
        </w:rPr>
        <w:t>.06.20</w:t>
      </w:r>
      <w:r w:rsidRPr="000754E6">
        <w:rPr>
          <w:kern w:val="28"/>
        </w:rPr>
        <w:t>09 № 22-З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далее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Закон № 22З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который вносит существенные изменения и дополнения в Закон Республики Беларусь от 22</w:t>
      </w:r>
      <w:r w:rsidR="000754E6">
        <w:rPr>
          <w:kern w:val="28"/>
        </w:rPr>
        <w:t>.07.20</w:t>
      </w:r>
      <w:r w:rsidRPr="000754E6">
        <w:rPr>
          <w:kern w:val="28"/>
        </w:rPr>
        <w:t>03 № 226-З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О валютном регулировании и валютном контроле</w:t>
      </w:r>
      <w:r w:rsidR="000754E6">
        <w:rPr>
          <w:kern w:val="28"/>
        </w:rPr>
        <w:t>" (</w:t>
      </w:r>
      <w:r w:rsidRPr="000754E6">
        <w:rPr>
          <w:kern w:val="28"/>
        </w:rPr>
        <w:t>далее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Закон</w:t>
      </w:r>
      <w:r w:rsidR="000754E6" w:rsidRPr="000754E6">
        <w:rPr>
          <w:kern w:val="28"/>
        </w:rPr>
        <w:t xml:space="preserve">) - </w:t>
      </w:r>
      <w:r w:rsidRPr="000754E6">
        <w:rPr>
          <w:kern w:val="28"/>
        </w:rPr>
        <w:t>законодательный акт, определяющий общие принципы валютного регулирования и валютного контроля в стране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Можно с уверенностью сказать, что Закон № 22-З существенно корректирует основы валютного регулирования и валютного контроля в Беларуси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В частности, расширено понятие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валютные ценности</w:t>
      </w:r>
      <w:r w:rsidR="000754E6">
        <w:rPr>
          <w:kern w:val="28"/>
        </w:rPr>
        <w:t xml:space="preserve">". </w:t>
      </w:r>
      <w:r w:rsidRPr="000754E6">
        <w:rPr>
          <w:kern w:val="28"/>
        </w:rPr>
        <w:t>Теперь к ним относятся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иностранная валюта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платежные документы в иностранной валюте, являющиеся таковыми в соответствии с законодательством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ценные бумаги в иностранной валюте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белорусские рубли при совершении сделок между резидентами и нерезидентами, сделок между нерезидентами на территории РБ, осуществлении банковских переводов между резидентами и нерезидентами, не связанных с осуществлением расчетов по сделкам, осуществлении международных банковских переводов между резидентами или нерезидентами, а также при ввозе и пересылке в РБ, вывозе и пересылке из РБ, осуществлении нерезидентами операций, не влекущих перехода права собственности на белорусские рубли, по счетам и вкладам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депозитам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 банках и небанковских кредитно</w:t>
      </w:r>
      <w:r w:rsidR="004D4905">
        <w:rPr>
          <w:kern w:val="28"/>
        </w:rPr>
        <w:t>-</w:t>
      </w:r>
      <w:r w:rsidRPr="000754E6">
        <w:rPr>
          <w:kern w:val="28"/>
        </w:rPr>
        <w:t>финансовых организациях РБ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ценные бумаги в белорусских рублях при совершении сделок между резидентами и нерезидентами, сделок между нерезидентами на территории РБ, их ввозе и пересылке в РБ, вывозе и пересылке из РБ</w:t>
      </w:r>
      <w:r w:rsidR="000754E6" w:rsidRPr="000754E6">
        <w:rPr>
          <w:kern w:val="28"/>
        </w:rPr>
        <w:t>;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платежные документы в белорусских рублях при совершении сделок между резидентами и нерезидентами, сделок между нерезидентами на территории РБ, при ввозе и пересылке в РБ, вывозе и пересылке из РБ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*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Пункты 7 и 8 ст</w:t>
      </w:r>
      <w:r w:rsidR="000754E6">
        <w:rPr>
          <w:kern w:val="28"/>
        </w:rPr>
        <w:t>.1</w:t>
      </w:r>
      <w:r w:rsidRPr="000754E6">
        <w:rPr>
          <w:kern w:val="28"/>
        </w:rPr>
        <w:t xml:space="preserve"> Закона, устанавливающие понятия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резиденты</w:t>
      </w:r>
      <w:r w:rsidR="000754E6">
        <w:rPr>
          <w:kern w:val="28"/>
        </w:rPr>
        <w:t xml:space="preserve">" </w:t>
      </w:r>
      <w:r w:rsidRPr="000754E6">
        <w:rPr>
          <w:kern w:val="28"/>
        </w:rPr>
        <w:t>и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нерезиденты</w:t>
      </w:r>
      <w:r w:rsidR="000754E6">
        <w:rPr>
          <w:kern w:val="28"/>
        </w:rPr>
        <w:t xml:space="preserve">", </w:t>
      </w:r>
      <w:r w:rsidRPr="000754E6">
        <w:rPr>
          <w:kern w:val="28"/>
        </w:rPr>
        <w:t>претерпели чисто технические правки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Часть 2 ст</w:t>
      </w:r>
      <w:r w:rsidR="000754E6">
        <w:rPr>
          <w:kern w:val="28"/>
        </w:rPr>
        <w:t>.3</w:t>
      </w:r>
      <w:r w:rsidRPr="000754E6">
        <w:rPr>
          <w:kern w:val="28"/>
        </w:rPr>
        <w:t xml:space="preserve"> Закона изложена в новой редакции и содержит положение о том, что нормы права, содержащиеся в международных договорах РБ, являются частью действующего на территории РБ валютного законодательства, подлежат непосредственному применению, кроме случаев, когда из международного договора следует, что для применения таких норм требуется принятие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издание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внутригосударственного нормативного правового акта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Закон дополнен ст</w:t>
      </w:r>
      <w:r w:rsidR="000754E6">
        <w:rPr>
          <w:kern w:val="28"/>
        </w:rPr>
        <w:t>.3</w:t>
      </w:r>
      <w:r w:rsidRPr="000754E6">
        <w:rPr>
          <w:kern w:val="28"/>
          <w:vertAlign w:val="superscript"/>
        </w:rPr>
        <w:t>1</w:t>
      </w:r>
      <w:r w:rsidRPr="000754E6">
        <w:rPr>
          <w:kern w:val="28"/>
        </w:rPr>
        <w:t>, в соответствии с которой исчисление сроков, установленных валютным законодательством, производится в порядке, определенном Гражданским кодексом Республики Беларусь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Это дополнение, отметим, позволит снять многие вопросы, которые возникали на практике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Изменения в текущих валютных операциях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Часть 1 ст</w:t>
      </w:r>
      <w:r w:rsidR="000754E6">
        <w:rPr>
          <w:kern w:val="28"/>
        </w:rPr>
        <w:t>.4</w:t>
      </w:r>
      <w:r w:rsidRPr="000754E6">
        <w:rPr>
          <w:kern w:val="28"/>
        </w:rPr>
        <w:t xml:space="preserve"> Закона изложена в новой редакции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Расширено понятие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валютные операции</w:t>
      </w:r>
      <w:r w:rsidR="000754E6">
        <w:rPr>
          <w:kern w:val="28"/>
        </w:rPr>
        <w:t xml:space="preserve">". </w:t>
      </w:r>
      <w:r w:rsidRPr="000754E6">
        <w:rPr>
          <w:kern w:val="28"/>
        </w:rPr>
        <w:t>В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соответствии с Законом № 22-З валютными операциями являются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сделки, предусматривающие использование иностранной валюты, ценных бумаг в иностранной валюте, платежных документов в иностранной валюте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сделки между резидентами и нерезидентами, предусматривающие использование белорусских рублей, ценных бумаг в белорусских рублях, платежных документов в белорусских рублях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сделки между нерезидентами, предусматривающие использование белорусских рублей, ценных бумаг в белорусских рублях, платежных документов в белорусских рублях, совершаемые на территории РБ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ввоз и пересылка в РБ, а также вывоз и пересылка из РБ валютных ценностей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банковские переводы в иностранной валюте, не связанные с осуществлением расчетов по сделкам, указанным в абзаце 2 ч</w:t>
      </w:r>
      <w:r w:rsidR="000754E6">
        <w:rPr>
          <w:kern w:val="28"/>
        </w:rPr>
        <w:t>.1</w:t>
      </w:r>
      <w:r w:rsidRPr="000754E6">
        <w:rPr>
          <w:kern w:val="28"/>
        </w:rPr>
        <w:t xml:space="preserve"> ст</w:t>
      </w:r>
      <w:r w:rsidR="000754E6">
        <w:rPr>
          <w:kern w:val="28"/>
        </w:rPr>
        <w:t>.4</w:t>
      </w:r>
      <w:r w:rsidRPr="000754E6">
        <w:rPr>
          <w:kern w:val="28"/>
        </w:rPr>
        <w:t xml:space="preserve"> Закона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банковские переводы между резидентами и нерезидентами в белорусских рублях, не связанные с осуществлением расчетов по сделкам, указанным в абзаце 3 ч</w:t>
      </w:r>
      <w:r w:rsidR="000754E6">
        <w:rPr>
          <w:kern w:val="28"/>
        </w:rPr>
        <w:t>.1</w:t>
      </w:r>
      <w:r w:rsidRPr="000754E6">
        <w:rPr>
          <w:kern w:val="28"/>
        </w:rPr>
        <w:t xml:space="preserve"> ст</w:t>
      </w:r>
      <w:r w:rsidR="000754E6">
        <w:rPr>
          <w:kern w:val="28"/>
        </w:rPr>
        <w:t>.4</w:t>
      </w:r>
      <w:r w:rsidRPr="000754E6">
        <w:rPr>
          <w:kern w:val="28"/>
        </w:rPr>
        <w:t xml:space="preserve"> Закона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международные банковские переводы в белорусских рублях между резидентами или нерезидентами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операции нерезидентов с белорусскими рублями по счетам и вкладам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депозитам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 банках и небанковских кредитно</w:t>
      </w:r>
      <w:r w:rsidR="004D4905">
        <w:rPr>
          <w:kern w:val="28"/>
        </w:rPr>
        <w:t>-</w:t>
      </w:r>
      <w:r w:rsidRPr="000754E6">
        <w:rPr>
          <w:kern w:val="28"/>
        </w:rPr>
        <w:t>финансовых организациях РБ, не влекущие перехода права собственности на эти белорусские рубли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операции с иностранной валютой по счетам и вкладам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депозитам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 банках и небанковских кредитно</w:t>
      </w:r>
      <w:r w:rsidR="004D4905">
        <w:rPr>
          <w:kern w:val="28"/>
        </w:rPr>
        <w:t>-</w:t>
      </w:r>
      <w:r w:rsidRPr="000754E6">
        <w:rPr>
          <w:kern w:val="28"/>
        </w:rPr>
        <w:t>финансовых организациях РБ, банках и иных кредитных организациях за пределами РБ, не влекущие перехода права собственности на эту иностранную валюту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 ч</w:t>
      </w:r>
      <w:r w:rsidR="000754E6">
        <w:rPr>
          <w:kern w:val="28"/>
        </w:rPr>
        <w:t>.2</w:t>
      </w:r>
      <w:r w:rsidRPr="000754E6">
        <w:rPr>
          <w:kern w:val="28"/>
        </w:rPr>
        <w:t xml:space="preserve"> ст</w:t>
      </w:r>
      <w:r w:rsidR="000754E6">
        <w:rPr>
          <w:kern w:val="28"/>
        </w:rPr>
        <w:t>.4</w:t>
      </w:r>
      <w:r w:rsidRPr="000754E6">
        <w:rPr>
          <w:kern w:val="28"/>
        </w:rPr>
        <w:t xml:space="preserve"> Закона, оставшейся в неизменном виде, валютные операции, проводимые между резидентами и нерезидентами, подразделяются на текущие валютные операции и валютные операции, связанные с движением капитала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Необходимо помнить, что валютные операции, проводимые между резидентами, не подразделяются на текущие валютные операции и валютные операции, связанные с движением капитала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1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Резидент Республики Беларусь приобретает долю в уставном фонде нерезидента, получает разрешение Национального банка на осуществление данной валютной операции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Затем реализует свою долю в уставном фонде нерезидента другому резиденту Республики Беларусь за белорусские рубли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Необходимо ли резиденту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покупателю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получать разрешение Нацбанка на осуществление данной операции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Статья 4 Закона определяет, какие операции являются валютными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Покупка резидентом у резидента за белорусские рубли доли в уставном фонде нерезидента не является по своей сути валютной операцией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Поэтому ограничения, установленные Законом и Правилами проведения валютных операций, утвержденными постановлением Правления Национального банка Республики Беларусь от 30</w:t>
      </w:r>
      <w:r w:rsidR="000754E6">
        <w:rPr>
          <w:kern w:val="28"/>
        </w:rPr>
        <w:t>.04.20</w:t>
      </w:r>
      <w:r w:rsidRPr="000754E6">
        <w:rPr>
          <w:kern w:val="28"/>
        </w:rPr>
        <w:t>04 № 72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далее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Правила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в данном случае не работают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Рассматриваемая операция совершается без разрешения Нацбанка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2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Банк Республики Беларусь продает за иностранную валюту субъекту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резиденту свою долю в уставном фонде нерезидента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Требуется ли получать разрешение Национального банка для осуществления данной валютной операции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Рассматриваемая валютная операция осуществляется между резидентами, поэтому она не относится ни к текущей валютной операции, ни к валютной операции, связанной с движением капитала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В связи с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этим ограничения, установленные валютным законодательством для совершения валютных операций, связанных с движением капитала, в данном случае не применяются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 п</w:t>
      </w:r>
      <w:r w:rsidR="000754E6">
        <w:rPr>
          <w:kern w:val="28"/>
        </w:rPr>
        <w:t>.2</w:t>
      </w:r>
      <w:r w:rsidRPr="000754E6">
        <w:rPr>
          <w:kern w:val="28"/>
        </w:rPr>
        <w:t>5</w:t>
      </w:r>
      <w:r w:rsidR="000754E6">
        <w:rPr>
          <w:kern w:val="28"/>
        </w:rPr>
        <w:t>.5</w:t>
      </w:r>
      <w:r w:rsidRPr="000754E6">
        <w:rPr>
          <w:kern w:val="28"/>
        </w:rPr>
        <w:t xml:space="preserve"> Правил при проведении валютных операций использование иностранной валюты, ценных бумаг в иностранной валюте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платежных документов в иностранной валюте между субъектами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 разрешается при проведении субъектами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 валютных операций с банками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Таким образом, рассматриваемая валютная операция разрешена белорусским валютным законодательством и не требует получения разрешения Нацбанка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со ст</w:t>
      </w:r>
      <w:r w:rsidR="000754E6">
        <w:rPr>
          <w:kern w:val="28"/>
        </w:rPr>
        <w:t>.5</w:t>
      </w:r>
      <w:r w:rsidRPr="000754E6">
        <w:rPr>
          <w:kern w:val="28"/>
        </w:rPr>
        <w:t xml:space="preserve"> действующей редакции Закона текущими валютными операциями являются валютные операции, проводимые между резидентами и нерезидентами и предполагающие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сделкам, предполагающим экспорт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импорт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работ,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охраняемой информации, исключительных прав на результаты интеллектуальной деятельности, если срок между датой поступления денежных средств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платежа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и датой отгрузки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поступления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товара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выполнения работ, оказания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передачи охраняемой информации, исключительных прав на результаты интеллектуальной деятельности не превышает 180 дней, включая осуществление таких расчетов с использованием ценных бумаг, выполняющих функции расчетных документов, если срок платежа по ценной бумаге обеспечивает поступление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уплату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денежных средств в срок, не превышающий 180 дней с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до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даты отгрузки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поступления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товара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выполнения работ, оказания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передачи охраняемой информации, исключительных прав на результаты интеллектуальной деятельности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предоставление и получение кредитов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займов на срок, не превышающий 180 дней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 и получение процентов, дивидендов и иных доходов по вкладам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депозитам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инвестициям, заемным и кредитным операциям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операции неторгового характера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 Законом №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22-З к текущим валютным операциям будут относиться валютные операции, проводимые между резидентами и нерезидентами и предполагающие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сделкам, предусматривающим экспорт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импорт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за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исключением денежных средств, ценных бумаг и недвижимого имущества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охраняемой информации, исключительных прав на результаты интеллектуальной деятельности, работ, услуг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сделкам, предусматривающим передачу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получение имущества в аренду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лизинг</w:t>
      </w:r>
      <w:r w:rsidR="000754E6" w:rsidRPr="000754E6">
        <w:rPr>
          <w:kern w:val="28"/>
        </w:rPr>
        <w:t>);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 и получение дивидендов и иных доходов по инвестициям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Необходимо обратить внимание субъектов хозяйствования на следующие ситуации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3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Субъект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 получил от нерезидента заем, требующий разрешения Национального банка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Разрешение Нацбанка на совершение данной валютной операции клиентом получено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Резидент собирается платить проценты по этому договору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Необходимо ли на уплату процентов получать данное разрешение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со ст</w:t>
      </w:r>
      <w:r w:rsidR="000754E6">
        <w:rPr>
          <w:kern w:val="28"/>
        </w:rPr>
        <w:t>.5</w:t>
      </w:r>
      <w:r w:rsidRPr="000754E6">
        <w:rPr>
          <w:kern w:val="28"/>
        </w:rPr>
        <w:t xml:space="preserve"> Закона текущими валютными операциями являются валютные операции, проводимые между резидентами и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нерезидентами и предусматривающие перевод и получение процентов, дивидендов и иных доходов по вкладам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депозитам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инвестициям, заемным и кредитным операциям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На основании ст</w:t>
      </w:r>
      <w:r w:rsidR="000754E6">
        <w:rPr>
          <w:kern w:val="28"/>
        </w:rPr>
        <w:t>.1</w:t>
      </w:r>
      <w:r w:rsidRPr="000754E6">
        <w:rPr>
          <w:kern w:val="28"/>
        </w:rPr>
        <w:t>0 Закона текущие валютные операции осуществляются между резидентами и нерезидентами в порядке, установленном законодательными актами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нормативными правовыми актами Нацбанка, без ограничений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Таким образом, уплата процентов по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договору займа является текущей валютной операцией, осуществляемой без ограничений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4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Субъект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 получил заем от нерезидента, требующий разрешения Национального банка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Разрешения Нацбанка на совершение данной валютной операции клиентом еще не получено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Резидент собирается платить проценты по данному договору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Необходимо ли ему сначала получить разрешение Нацбанка на совершение валютной операции, связанной с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движением капитала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Поскольку уплата процентов по заемным и кредитным операциям исходя из ст</w:t>
      </w:r>
      <w:r w:rsidR="000754E6">
        <w:rPr>
          <w:kern w:val="28"/>
        </w:rPr>
        <w:t>.5</w:t>
      </w:r>
      <w:r w:rsidRPr="000754E6">
        <w:rPr>
          <w:kern w:val="28"/>
        </w:rPr>
        <w:t xml:space="preserve"> Закона является текущей валютной операцией, то согласно ст</w:t>
      </w:r>
      <w:r w:rsidR="000754E6">
        <w:rPr>
          <w:kern w:val="28"/>
        </w:rPr>
        <w:t>.1</w:t>
      </w:r>
      <w:r w:rsidRPr="000754E6">
        <w:rPr>
          <w:kern w:val="28"/>
        </w:rPr>
        <w:t>0 Закона никакого разрешения на ее проведение не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требуется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Однако Закон № 22-З исключил уплату процентов по заемным и кредитным операциям из списка текущих валютных операций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Поэтому данная валютная операция автоматически стала валютной операцией, связанной с движением капитала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Можно предположить, что все платежи по договорам займа, в том числе и уплата процентов, будут рассматриваться в рамках операции в целом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И если валютная операция, связанная с движением капитала, будет требовать получения разрешения Нацбанка, то и уплатить проценты по такому договору будет нельзя до получения соответствующего разрешения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5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Субъект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 получил предоплату по экспортному внешнеторговому договору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Однако отгрузить товар в срок, установленный договором, не смог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Не будет ли нарушением валютного законодательства отгрузка товара нерезиденту в срок свыше 180 дней с момента получения предоплаты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 п</w:t>
      </w:r>
      <w:r w:rsidR="000754E6">
        <w:rPr>
          <w:kern w:val="28"/>
        </w:rPr>
        <w:t>.1.4</w:t>
      </w:r>
      <w:r w:rsidRPr="000754E6">
        <w:rPr>
          <w:kern w:val="28"/>
        </w:rPr>
        <w:t xml:space="preserve"> Указа Президента Республики Беларусь от 27</w:t>
      </w:r>
      <w:r w:rsidR="000754E6">
        <w:rPr>
          <w:kern w:val="28"/>
        </w:rPr>
        <w:t>.03.20</w:t>
      </w:r>
      <w:r w:rsidRPr="000754E6">
        <w:rPr>
          <w:kern w:val="28"/>
        </w:rPr>
        <w:t>08 № 178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О порядке проведения и контроля внешнеторговых операций</w:t>
      </w:r>
      <w:r w:rsidR="000754E6">
        <w:rPr>
          <w:kern w:val="28"/>
        </w:rPr>
        <w:t xml:space="preserve">" </w:t>
      </w:r>
      <w:r w:rsidRPr="000754E6">
        <w:rPr>
          <w:kern w:val="28"/>
        </w:rPr>
        <w:t>резиденты обязаны обеспечить завершение каждой внешнеторговой операции в полном объеме в следующие сроки</w:t>
      </w:r>
      <w:r w:rsidR="000754E6" w:rsidRPr="000754E6">
        <w:rPr>
          <w:kern w:val="28"/>
        </w:rPr>
        <w:t xml:space="preserve">: </w:t>
      </w:r>
      <w:r w:rsidRPr="000754E6">
        <w:rPr>
          <w:kern w:val="28"/>
        </w:rPr>
        <w:t>при экспорте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не позднее 90 календарных дней с даты отгрузки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передачи охраняемой информации, исключительных прав на результаты интеллектуальной деятельности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выполнения работ, оказания услуг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Поскольку резидент получил предоплату, то вышеназванный Указ в данном случае не нарушается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ст</w:t>
      </w:r>
      <w:r w:rsidR="000754E6">
        <w:rPr>
          <w:kern w:val="28"/>
        </w:rPr>
        <w:t>.1</w:t>
      </w:r>
      <w:r w:rsidRPr="000754E6">
        <w:rPr>
          <w:kern w:val="28"/>
        </w:rPr>
        <w:t>0 Закона сказано, что не требуется получения разрешения Нацбанка на проведение юридическими лицами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 и индивидуальными предпринимателями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 следующих валютных операций, связанных с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движением капитала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сделкам, предусматривающим экспорт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работ,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охраняемой информации, исключительных прав на результаты интеллектуальной деятельности, с получением отсрочки на поставку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выполнение работ, оказание услуг</w:t>
      </w:r>
      <w:r w:rsidR="000754E6" w:rsidRPr="000754E6">
        <w:rPr>
          <w:kern w:val="28"/>
        </w:rPr>
        <w:t>);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передачу охраняемой информации, исключительных прав на результаты интеллектуальной деятельности на срок, превышающий 180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дней с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даты поступления денежных средств резиденту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Таким образом, отгрузка товара нерезиденту в срок свыше 180 дней с момента получения предоплаты не является нарушением валютного законодательства и осуществляется без разрешения Нацбанка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То есть на сегодняшний день данная валютная операция является валютной операцией, связанной с движением капитала, и осуществляется без разрешения Нацбанка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В соответствии с Законом № 22З такая валютная операция вообще будет отнесена к текущим валютным операциям, которые по общему правилу осуществляются без ограничений согласно ст</w:t>
      </w:r>
      <w:r w:rsidR="000754E6">
        <w:rPr>
          <w:kern w:val="28"/>
        </w:rPr>
        <w:t>.1</w:t>
      </w:r>
      <w:r w:rsidRPr="000754E6">
        <w:rPr>
          <w:kern w:val="28"/>
        </w:rPr>
        <w:t>0 Закона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Статья 6 Закона изложена в новой редакции, согласно которой расширен и перечень неторговых операций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К операциям неторгового характера относятся, например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 и получение денежных средств для выплаты заработной платы, денежного довольствия, стипендий, пенсий, алиментов, государственных пособий, доплат и компенсаций, а также денежных средств по возмещению вреда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переводы денежных средств для оплаты командировочных расходов работников за пределами РБ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 и получение денежных средств, входящих в состав наследства, и денежных средств, полученных от реализации наследственного имущества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 и получение денежных средств, связанные со смертью граждан, включая пособия и материальную помощь на погребение, транспортные и иные расходы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получение денежных компенсаций жертвами репрессий, членами их семей и наследниками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переводы денежных средств, связанные с оплатой содержания дипломатических и иных официальных представительств, консульских учреждений РБ, находящихся за пределами РБ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получение денежных средств судами, международным арбитражным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третейским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судом, правоохранительными органами, государственными нотариальными конторами, нотариальными бюро, связанное с осуществлением их деятельности, а также государственными органами или иными организациями при совершении их должностными лицами нотариальных действий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 xml:space="preserve">иные операции, перечень которых определяется Президентом или по его поручению Советом Министров, а также международными договорами РБ и </w:t>
      </w:r>
      <w:r w:rsidR="000754E6">
        <w:rPr>
          <w:kern w:val="28"/>
        </w:rPr>
        <w:t>т.д.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настоящее время перечня иных операций неторгового характера в белорусском валютном законодательстве не содержится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Поэтому действует следующее правило</w:t>
      </w:r>
      <w:r w:rsidR="000754E6" w:rsidRPr="000754E6">
        <w:rPr>
          <w:kern w:val="28"/>
        </w:rPr>
        <w:t xml:space="preserve">: </w:t>
      </w:r>
      <w:r w:rsidRPr="000754E6">
        <w:rPr>
          <w:kern w:val="28"/>
        </w:rPr>
        <w:t>все, что не является текущей валютной операцией, то есть все, что не указано в ст</w:t>
      </w:r>
      <w:r w:rsidR="000754E6">
        <w:rPr>
          <w:kern w:val="28"/>
        </w:rPr>
        <w:t>.5</w:t>
      </w:r>
      <w:r w:rsidRPr="000754E6">
        <w:rPr>
          <w:kern w:val="28"/>
        </w:rPr>
        <w:t xml:space="preserve"> и 6 Закона, считается валютной операцией, связанной с движением капитала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6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Резидент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юридическое лицо ошибочно перечислил денежные средства на счет нерезидента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К какой валютной операции относится получение резидентом от нерезидента ранее ошибочно перечисленных денежных средств и в каком порядке она совершается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 действующей редакции Закона ответ будет следующим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Получение резидентом от нерезидента ошибочно перечисленных резидентом денежных средств на основании ст</w:t>
      </w:r>
      <w:r w:rsidR="000754E6">
        <w:rPr>
          <w:kern w:val="28"/>
        </w:rPr>
        <w:t>.7</w:t>
      </w:r>
      <w:r w:rsidRPr="000754E6">
        <w:rPr>
          <w:kern w:val="28"/>
        </w:rPr>
        <w:t xml:space="preserve"> Закона относится к валютной операции, связанной с движением капитала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 п</w:t>
      </w:r>
      <w:r w:rsidR="000754E6">
        <w:rPr>
          <w:kern w:val="28"/>
        </w:rPr>
        <w:t xml:space="preserve">.20 </w:t>
      </w:r>
      <w:r w:rsidRPr="000754E6">
        <w:rPr>
          <w:kern w:val="28"/>
        </w:rPr>
        <w:t>Правил субъекты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резиденты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кроме банков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 уведомительном порядке осуществляют валютные операции, связанные с движением капитала, не указанные в п</w:t>
      </w:r>
      <w:r w:rsidR="000754E6">
        <w:rPr>
          <w:kern w:val="28"/>
        </w:rPr>
        <w:t>.1</w:t>
      </w:r>
      <w:r w:rsidRPr="000754E6">
        <w:rPr>
          <w:kern w:val="28"/>
        </w:rPr>
        <w:t>8 и 19 Правил, а также не указанные в ст</w:t>
      </w:r>
      <w:r w:rsidR="000754E6">
        <w:rPr>
          <w:kern w:val="28"/>
        </w:rPr>
        <w:t>.1</w:t>
      </w:r>
      <w:r w:rsidRPr="000754E6">
        <w:rPr>
          <w:kern w:val="28"/>
        </w:rPr>
        <w:t>0 Закона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Таким образом, на основании вышеизложенного можно заключить, что получение резидентом от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нерезидента ошибочно перечисленных резидентом денежных средств относится к валютной операции, связанной с движением капитала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Кроме того, осуществление данной операции производится в уведомительном порядке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Руководствуясь Законом № 22-З, переводы, связанные с возвратом ошибочно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излишне перечисленных денежных средств, являются текущими валютными операциями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Пример 7</w:t>
      </w:r>
      <w:r w:rsidR="004D4905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К какому виду валютных операций относится перечисление резидентом нерезиденту взноса за участие в конференции и в каком порядке данная операция осуществляется</w:t>
      </w:r>
      <w:r w:rsidR="000754E6" w:rsidRPr="000754E6">
        <w:rPr>
          <w:kern w:val="28"/>
        </w:rPr>
        <w:t>?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 действующей редакции Закона ситуация выглядит следующим образом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Перечисление резидентом нерезиденту взноса за участие в конференции осуществляется в рамках договора возмездного оказания услуг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Следовательно, данная операция подпадает под расчеты в рамках экспортно</w:t>
      </w:r>
      <w:r w:rsidR="004D4905">
        <w:rPr>
          <w:kern w:val="28"/>
        </w:rPr>
        <w:t>-</w:t>
      </w:r>
      <w:r w:rsidRPr="000754E6">
        <w:rPr>
          <w:kern w:val="28"/>
        </w:rPr>
        <w:t>импортных операций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В этом случае имеет место импорт услуг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случае, когда срок между датой поступления денежных средств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платежа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и датой оказания услуг не превышает 180 дней согласно ст</w:t>
      </w:r>
      <w:r w:rsidR="000754E6">
        <w:rPr>
          <w:kern w:val="28"/>
        </w:rPr>
        <w:t>.5</w:t>
      </w:r>
      <w:r w:rsidRPr="000754E6">
        <w:rPr>
          <w:kern w:val="28"/>
        </w:rPr>
        <w:t xml:space="preserve"> Закона, перечисление взноса за участие в конференции является текущей валютной операцией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 общему правилу текущие валютные операции осуществляются между резидентами и нерезидентами без ограничений исходя из ст</w:t>
      </w:r>
      <w:r w:rsidR="000754E6">
        <w:rPr>
          <w:kern w:val="28"/>
        </w:rPr>
        <w:t>.1</w:t>
      </w:r>
      <w:r w:rsidRPr="000754E6">
        <w:rPr>
          <w:kern w:val="28"/>
        </w:rPr>
        <w:t>0 Закона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случае, когда срок между датой поступления денежных средств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платежа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и датой оказания услуг превышает 180 дней согласно ст</w:t>
      </w:r>
      <w:r w:rsidR="000754E6">
        <w:rPr>
          <w:kern w:val="28"/>
        </w:rPr>
        <w:t>.7</w:t>
      </w:r>
      <w:r w:rsidRPr="000754E6">
        <w:rPr>
          <w:kern w:val="28"/>
        </w:rPr>
        <w:t xml:space="preserve"> Закона, перечисление взноса за участие в конференции является валютной операцией, связанной с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движением капитала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В соответствии с п</w:t>
      </w:r>
      <w:r w:rsidR="000754E6">
        <w:rPr>
          <w:kern w:val="28"/>
        </w:rPr>
        <w:t xml:space="preserve">.20 </w:t>
      </w:r>
      <w:r w:rsidRPr="000754E6">
        <w:rPr>
          <w:kern w:val="28"/>
        </w:rPr>
        <w:t>Правил субъекты валютных операций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резиденты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кроме банков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 уведомительном порядке осуществляют валютные операции, связанные с движением капитала, не указанные в п</w:t>
      </w:r>
      <w:r w:rsidR="000754E6">
        <w:rPr>
          <w:kern w:val="28"/>
        </w:rPr>
        <w:t>.1</w:t>
      </w:r>
      <w:r w:rsidRPr="000754E6">
        <w:rPr>
          <w:kern w:val="28"/>
        </w:rPr>
        <w:t>8</w:t>
      </w:r>
      <w:r w:rsidR="000754E6">
        <w:rPr>
          <w:kern w:val="28"/>
        </w:rPr>
        <w:t>-</w:t>
      </w:r>
      <w:r w:rsidRPr="000754E6">
        <w:rPr>
          <w:kern w:val="28"/>
        </w:rPr>
        <w:t>19 Правил, а также не указанные в ст</w:t>
      </w:r>
      <w:r w:rsidR="000754E6">
        <w:rPr>
          <w:kern w:val="28"/>
        </w:rPr>
        <w:t>.1</w:t>
      </w:r>
      <w:r w:rsidRPr="000754E6">
        <w:rPr>
          <w:kern w:val="28"/>
        </w:rPr>
        <w:t>0 Закона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Орган валютного регулирования и валютного контроля высказался, что платеж за участие в семинарах, конференциях рассматривается как платеж в рамках договора возмездного оказания услуг в случае, если подробно расписаны оказываемые услуги и их стоимость и все существенные условия договора оказания услуг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Если же обязательство нерезидента заключается лишь в организации семинара или конференции, без конкретизации, то это является валютной операцией, связанной с движением капитала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Теперь же в соответствии с Законом № 22-З данные вопросы отпадут сами собой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Перевод и получение денежных средств, связанные с участием в конференциях, семинарах, спортивных мероприятиях, выставках, ярмарках, являются текущими валютными операциями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По общему правилу согласно ст</w:t>
      </w:r>
      <w:r w:rsidR="000754E6">
        <w:rPr>
          <w:kern w:val="28"/>
        </w:rPr>
        <w:t>.1</w:t>
      </w:r>
      <w:r w:rsidRPr="000754E6">
        <w:rPr>
          <w:kern w:val="28"/>
        </w:rPr>
        <w:t>0 Закона данные операции осуществляются между резидентами и нерезидентами без ограничений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Валютные операции, связанные с движением капитала и проводимые между резидентами и нерезидентами, перечислены в ст</w:t>
      </w:r>
      <w:r w:rsidR="000754E6">
        <w:rPr>
          <w:kern w:val="28"/>
        </w:rPr>
        <w:t>.7</w:t>
      </w:r>
      <w:r w:rsidRPr="000754E6">
        <w:rPr>
          <w:kern w:val="28"/>
        </w:rPr>
        <w:t xml:space="preserve"> действующей редакции Закона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Кроме того, ряд валютных операций, связанных с движением капитала, указан в ст</w:t>
      </w:r>
      <w:r w:rsidR="000754E6">
        <w:rPr>
          <w:kern w:val="28"/>
        </w:rPr>
        <w:t>.1</w:t>
      </w:r>
      <w:r w:rsidRPr="000754E6">
        <w:rPr>
          <w:kern w:val="28"/>
        </w:rPr>
        <w:t>0 Закона и п</w:t>
      </w:r>
      <w:r w:rsidR="000754E6">
        <w:rPr>
          <w:kern w:val="28"/>
        </w:rPr>
        <w:t>.1</w:t>
      </w:r>
      <w:r w:rsidRPr="000754E6">
        <w:rPr>
          <w:kern w:val="28"/>
        </w:rPr>
        <w:t>8 Правил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Законом № 22З ст</w:t>
      </w:r>
      <w:r w:rsidR="000754E6">
        <w:rPr>
          <w:kern w:val="28"/>
        </w:rPr>
        <w:t>.7</w:t>
      </w:r>
      <w:r w:rsidRPr="000754E6">
        <w:rPr>
          <w:kern w:val="28"/>
        </w:rPr>
        <w:t xml:space="preserve"> Закона изложена в новой редакции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Отныне валютными операциями, связанными с движением капитала, являются проводимые между резидентами и нерезидентами валютные операции, не относимые к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текущим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Полагаем, закрепленный в Законе № 22-З подход более удачен, поскольку перечень валютных операций, связанных с движением капитала, является открытым и их перечисление в ст</w:t>
      </w:r>
      <w:r w:rsidR="000754E6">
        <w:rPr>
          <w:kern w:val="28"/>
        </w:rPr>
        <w:t>.7</w:t>
      </w:r>
      <w:r w:rsidRPr="000754E6">
        <w:rPr>
          <w:kern w:val="28"/>
        </w:rPr>
        <w:t xml:space="preserve"> Закона носит больше информационный характер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Перечислить же в одной статье все валютные операции, связанные с движением капитала, не представляется возможным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Закон № 22-З сохраняет подход, закрепленный в ст</w:t>
      </w:r>
      <w:r w:rsidR="000754E6">
        <w:rPr>
          <w:kern w:val="28"/>
        </w:rPr>
        <w:t>.9</w:t>
      </w:r>
      <w:r w:rsidRPr="000754E6">
        <w:rPr>
          <w:kern w:val="28"/>
        </w:rPr>
        <w:t xml:space="preserve"> Закона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расчеты между юридическими лицами, между юридическими лицами и индивидуальными предпринимателями, а также между индивидуальными предпринимателями осуществляются в безналичной форме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расчеты в иностранной валюте с участием физических лиц, если они разрешены валютным законодательством, могут производиться с использованием наличной иностранной валюты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Сохранена норма, закрепленная в ч</w:t>
      </w:r>
      <w:r w:rsidR="000754E6">
        <w:rPr>
          <w:kern w:val="28"/>
        </w:rPr>
        <w:t>.1</w:t>
      </w:r>
      <w:r w:rsidRPr="000754E6">
        <w:rPr>
          <w:kern w:val="28"/>
        </w:rPr>
        <w:t xml:space="preserve"> ст</w:t>
      </w:r>
      <w:r w:rsidR="000754E6">
        <w:rPr>
          <w:kern w:val="28"/>
        </w:rPr>
        <w:t>.1</w:t>
      </w:r>
      <w:r w:rsidRPr="000754E6">
        <w:rPr>
          <w:kern w:val="28"/>
        </w:rPr>
        <w:t>0 Закона, в соответствии с которой текущие валютные операции осуществляются между резидентами и нерезидентами в порядке, установленном законодательными актами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нормативными правовыми актами Нацбанка, без ограничений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Однако здесь необходимо упомянуть Указ Президента Республики Беларусь от 12</w:t>
      </w:r>
      <w:r w:rsidR="000754E6">
        <w:rPr>
          <w:kern w:val="28"/>
        </w:rPr>
        <w:t>.05.20</w:t>
      </w:r>
      <w:r w:rsidRPr="000754E6">
        <w:rPr>
          <w:kern w:val="28"/>
        </w:rPr>
        <w:t>09 № 240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О некоторых вопросах в области валютного регулирования</w:t>
      </w:r>
      <w:r w:rsidR="000754E6">
        <w:rPr>
          <w:kern w:val="28"/>
        </w:rPr>
        <w:t xml:space="preserve">", </w:t>
      </w:r>
      <w:r w:rsidRPr="000754E6">
        <w:rPr>
          <w:kern w:val="28"/>
        </w:rPr>
        <w:t>которым предоставлено право Нацбанку устанавливать ограничения по осуществлению отдельных текущих валютных операций для юридических лиц и индивидуальных предпринимателей, являющихся резидентами РБ в соответствии с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Законом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Закон № 22-З расширяет перечень валютных операций, связанных с движением капитала, осуществляемых физическими лицами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 с разрешения Нацбанка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Согласно Закону № 22-З на проведение валютных операций, связанных с движением капитала, физическими лицами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 разрешение Нацбанка требуется только в случаях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приобретения акций при их распределении среди учредителей, а также доли в уставном фонде или пая в имуществе нерезидента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приобретения у нерезидента ценных бумаг, выпущенных нерезидентами, за исключением приобретения акций при их распределении среди учредителей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приобретения в собственность имущества, находящегося за пределами Республики Беларусь и относимого по законодательству Республики Беларусь к недвижимому имуществу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размещения денежных средств в банках и иных кредитных организациях иностранных государств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предоставления займов на срок, превышающий 180 дней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перевода денежных средств по сделкам, предусматривающим доверительное управление валютными ценностями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Вместе с тем сохранена норма ст</w:t>
      </w:r>
      <w:r w:rsidR="000754E6">
        <w:rPr>
          <w:kern w:val="28"/>
        </w:rPr>
        <w:t>.1</w:t>
      </w:r>
      <w:r w:rsidRPr="000754E6">
        <w:rPr>
          <w:kern w:val="28"/>
        </w:rPr>
        <w:t>0 Закона, в соответствии с которой не требуется получения разрешения Нацбанка на проведение валютных операций, связанных с движением капитала, физическими лицами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резидентами, непрерывно проживающими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находящимися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за пределами РБ более одного года, если проведение таких операций не связано с осуществлением ими предпринимательской деятельности на территории РБ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Очень важным изменением является изложение перечня валютных операций, связанных с движением капитала, которые осуществляются без разрешения Нацбанка, в новой редакции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Отметим, что из данного перечня исключен ряд валютных операций, таких как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сделкам, предусматривающим экспорт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работ,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охраняемой информации, исключительных прав на результаты интеллектуальной деятельности, с получением отсрочки на поставку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выполнение работ, оказание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передачу охраняемой информации, исключительных прав на результаты интеллектуальной деятельности на срок, превышающий 180 дней с даты поступления денежных средств резиденту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сделкам, предусматривающим импорт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работ,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охраняемой информации, исключительных прав на результаты интеллектуальной деятельности, с получением отсрочки на оплату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выполнение работ, оказание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передачу охраняемой информации, исключительных прав на результаты интеллектуальной деятельности на срок, превышающий 180 дней с даты поступления от нерезидента товаров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выполнения работ, оказания услуг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передачи охраняемой информации, исключительных прав на результаты интеллектуальной деятельности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расчетов по договорам аренды имущества, за исключением договоров аренды имущества, находящегося за пределами РБ и относимого по законодательству РБ к недвижимому имуществу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переводов иностранной валюты, белорусских рублей в качестве членских взносов в связи с участием в международных организациях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Поскольку на практике возникали вопросы с квалификацией операций, связанных с расчетами как при создании юридических лиц, так и при приобретении доли в уже созданных предприятиях, в Законе № 22З появились две самостоятельные валютные операции, связанные с движением капитала, которые осуществляются без разрешения Нацбанка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продажа нерезиденту доли в уставном фонде или пая в имуществе резидента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формирование уставного фонда юридического лица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 за счет вкладов нерезидентов в иностранной валюте, белорусских рублях либо в ценных бумагах в иностранной валюте, в ценных бумагах в белорусских рублях в порядке, установленном законодательством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Нацбанк стоял и ранее на позиции, что приобретение нерезидентом доли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пая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в уже созданном предприятии­резиденте также является валютной операцией, связанной с движением капитала, не требующей разрешения Нацбанка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Теперь эта позиция официально закреплена в законодательном акте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Необходимо обратить внимание, что в перечне появились две совершенно новые валютные операции, связанные с движением капитала, не требующие разрешения Нацбанка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осуществление переводов денежных средств, связанных с приобретением конкурсных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тендерных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документов и участием в торгах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конкурсах, тендерах, аукционах</w:t>
      </w:r>
      <w:r w:rsidR="000754E6" w:rsidRPr="000754E6">
        <w:rPr>
          <w:kern w:val="28"/>
        </w:rPr>
        <w:t>);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получение кредитов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займов банками и небанковскими кредитно-финансовыми организациями</w:t>
      </w:r>
      <w:r w:rsidR="000754E6" w:rsidRPr="000754E6">
        <w:rPr>
          <w:kern w:val="28"/>
        </w:rPr>
        <w:t>.</w:t>
      </w:r>
    </w:p>
    <w:p w:rsidR="00EA73AF" w:rsidRPr="000754E6" w:rsidRDefault="00EA73AF" w:rsidP="000754E6">
      <w:pPr>
        <w:rPr>
          <w:kern w:val="28"/>
        </w:rPr>
      </w:pPr>
      <w:r w:rsidRPr="000754E6">
        <w:rPr>
          <w:kern w:val="28"/>
        </w:rPr>
        <w:t>Иные изменения</w:t>
      </w:r>
      <w:r w:rsid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Статья 11 Закона подверглась некоторым техническим правкам, однако две важнейшие нормы, содержащиеся в ней, остались без изменений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Как и прежде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запрещается использование иностранной валюты, ценных бумаг в иностранной валюте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платежных документов в иностранной валюте при проведении валютных операций между резидентами, за исключением случаев, установленных Законом и иными актами валютного законодательства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отношениях между физическими лицами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резидентами, не выступающими при проведении валютных операций в качестве индивидуальных предпринимателей, разрешается использование иностранной валюты, ценных бумаг в иностранной валюте и платежных документов в иностранной валюте в случаях дарения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в том числе в виде пожертвований</w:t>
      </w:r>
      <w:r w:rsidR="000754E6" w:rsidRPr="000754E6">
        <w:rPr>
          <w:kern w:val="28"/>
        </w:rPr>
        <w:t>),</w:t>
      </w:r>
      <w:r w:rsidRPr="000754E6">
        <w:rPr>
          <w:kern w:val="28"/>
        </w:rPr>
        <w:t xml:space="preserve"> а также отмены дарения, предоставления займов, возврата займов и процентов за пользование ими, передачи на хранение и их возврата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Статья 12 Закона дополнена частью, в соответствии с которой валютно­обменные операции с участием физических лиц осуществляются без регистрации данных документа, удостоверяющего личность этих лиц, если иное не предусмотрено законодательными актами о предотвращении легализации доходов, полученных незаконным путем, и финансирования террористической деятельности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Вместе с тем данную норму Закона необходимо соотносить с законодательством о предотвращении легализации доходов, полученных незаконным путем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В соответствии с п</w:t>
      </w:r>
      <w:r w:rsidR="000754E6">
        <w:rPr>
          <w:kern w:val="28"/>
        </w:rPr>
        <w:t>.1.2</w:t>
      </w:r>
      <w:r w:rsidRPr="000754E6">
        <w:rPr>
          <w:kern w:val="28"/>
        </w:rPr>
        <w:t xml:space="preserve"> Указа Президента Республики Беларусь от 0</w:t>
      </w:r>
      <w:r w:rsidR="000754E6">
        <w:rPr>
          <w:kern w:val="28"/>
        </w:rPr>
        <w:t>4.11.20</w:t>
      </w:r>
      <w:r w:rsidRPr="000754E6">
        <w:rPr>
          <w:kern w:val="28"/>
        </w:rPr>
        <w:t>08 № 601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Об отдельных вопросах осуществления банками финансовых операций</w:t>
      </w:r>
      <w:r w:rsidR="000754E6">
        <w:rPr>
          <w:kern w:val="28"/>
        </w:rPr>
        <w:t>" (</w:t>
      </w:r>
      <w:r w:rsidRPr="000754E6">
        <w:rPr>
          <w:kern w:val="28"/>
        </w:rPr>
        <w:t>далее</w:t>
      </w:r>
      <w:r w:rsidR="000754E6" w:rsidRPr="000754E6">
        <w:rPr>
          <w:kern w:val="28"/>
        </w:rPr>
        <w:t xml:space="preserve"> - </w:t>
      </w:r>
      <w:r w:rsidRPr="000754E6">
        <w:rPr>
          <w:kern w:val="28"/>
        </w:rPr>
        <w:t>Указ № 601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Нацбанк, иные банки, небанковские кредитно-финансовые организации при осуществлении финансовых операций, сумма которых равна или превышает 1 тыс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базовых величин, в установленном законодательством порядке проводят идентификацию лиц, совершающих эти операции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Из ст</w:t>
      </w:r>
      <w:r w:rsidR="000754E6">
        <w:rPr>
          <w:kern w:val="28"/>
        </w:rPr>
        <w:t>.1</w:t>
      </w:r>
      <w:r w:rsidRPr="000754E6">
        <w:rPr>
          <w:kern w:val="28"/>
        </w:rPr>
        <w:t>3 Закона исключена норма, предоставлявшая право Совмину и Нацбанку по согласованию с Президентом устанавливать иные случаи полного или частичного освобождения юридических лиц и индивидуальных предпринимателей от обязательной продажи иностранной валюты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ст</w:t>
      </w:r>
      <w:r w:rsidR="000754E6">
        <w:rPr>
          <w:kern w:val="28"/>
        </w:rPr>
        <w:t>.2</w:t>
      </w:r>
      <w:r w:rsidRPr="000754E6">
        <w:rPr>
          <w:kern w:val="28"/>
        </w:rPr>
        <w:t>7 Закона также внесены изменения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Отныне у банка как агента валютного контроля вместо права осуществлять контроль за своевременностью представления отчетности по валютным операциям и соответствием ее требованиям валютного законодательства появилось право осуществлять контроль за полнотой и своевременностью предоставления клиентами информации, относящейся к валютным операциям, и соответствием ее требованиям валютного законодательства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Кроме того, исключено право банка приостанавливать операции по открытым у них счетам клиентов на сумму, по которой не представлена документация о проводимых операциях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Необходимо отметить, что данная норма до ее отмены в силу различных причин не нашла практического применения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Дополнительно уточнено, что банки и небанковские кредитно</w:t>
      </w:r>
      <w:r w:rsidR="004D4905">
        <w:rPr>
          <w:kern w:val="28"/>
        </w:rPr>
        <w:t>-</w:t>
      </w:r>
      <w:r w:rsidRPr="000754E6">
        <w:rPr>
          <w:kern w:val="28"/>
        </w:rPr>
        <w:t>финансовые организации как агенты валютного контроля вправе осуществлять иные функции, предусмотренные именно валютным законодательством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соответствии с Законом № 22-З банк и небанковская кредитно</w:t>
      </w:r>
      <w:r w:rsidR="004D4905">
        <w:rPr>
          <w:kern w:val="28"/>
        </w:rPr>
        <w:t>-</w:t>
      </w:r>
      <w:r w:rsidRPr="000754E6">
        <w:rPr>
          <w:kern w:val="28"/>
        </w:rPr>
        <w:t>финансовая организация не вправе выполнять распоряжение резидента или нерезидента о перечислении с его счета денежных средств</w:t>
      </w:r>
      <w:r w:rsidR="000754E6" w:rsidRPr="000754E6">
        <w:rPr>
          <w:kern w:val="28"/>
        </w:rPr>
        <w:t>: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если такое перечисление не соответствует режиму функционирования счета резидента или нерезидента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если проведение валютной операции допускается при наличии разрешения Нацбанка, но такое разрешение резидентом или нерезидентом не представлено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если резидентом или нерезидентом не представлены документы, предусмотренные требованиями нормативных правовых актов Президента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нормативных правовых актов Нацбанка, либо представленные документы не соответствуют таким требованиям</w:t>
      </w:r>
      <w:r w:rsidR="000754E6" w:rsidRPr="000754E6">
        <w:rPr>
          <w:kern w:val="28"/>
        </w:rPr>
        <w:t>;</w:t>
      </w:r>
    </w:p>
    <w:p w:rsidR="000754E6" w:rsidRDefault="00EA73AF" w:rsidP="000754E6">
      <w:pPr>
        <w:rPr>
          <w:kern w:val="28"/>
        </w:rPr>
      </w:pPr>
      <w:r w:rsidRPr="000754E6">
        <w:rPr>
          <w:kern w:val="28"/>
        </w:rPr>
        <w:t>в иных случаях, установленных законодательными актами и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или</w:t>
      </w:r>
      <w:r w:rsidR="000754E6" w:rsidRPr="000754E6">
        <w:rPr>
          <w:kern w:val="28"/>
        </w:rPr>
        <w:t xml:space="preserve">) </w:t>
      </w:r>
      <w:r w:rsidRPr="000754E6">
        <w:rPr>
          <w:kern w:val="28"/>
        </w:rPr>
        <w:t>нормативными правовыми актами Нацбанка</w:t>
      </w:r>
      <w:r w:rsidR="000754E6" w:rsidRPr="000754E6">
        <w:rPr>
          <w:kern w:val="28"/>
        </w:rPr>
        <w:t>.</w:t>
      </w:r>
    </w:p>
    <w:p w:rsidR="000754E6" w:rsidRPr="000754E6" w:rsidRDefault="00EA73AF" w:rsidP="000754E6">
      <w:pPr>
        <w:pStyle w:val="2"/>
        <w:rPr>
          <w:kern w:val="28"/>
        </w:rPr>
      </w:pPr>
      <w:r w:rsidRPr="000754E6">
        <w:br w:type="page"/>
      </w:r>
      <w:r w:rsidR="000754E6">
        <w:rPr>
          <w:kern w:val="28"/>
        </w:rPr>
        <w:t>Список использованных источников</w:t>
      </w:r>
    </w:p>
    <w:p w:rsidR="000754E6" w:rsidRDefault="000754E6" w:rsidP="000754E6">
      <w:pPr>
        <w:rPr>
          <w:kern w:val="28"/>
        </w:rPr>
      </w:pP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Конституция Республики Беларусь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Принята на республиканском референдуме 24 ноября 1996г</w:t>
      </w:r>
      <w:r w:rsidR="000754E6" w:rsidRPr="000754E6">
        <w:rPr>
          <w:kern w:val="28"/>
        </w:rPr>
        <w:t>.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Национальный реестр правовых актов Республики Беларусь, 05</w:t>
      </w:r>
      <w:r w:rsidR="000754E6">
        <w:rPr>
          <w:kern w:val="28"/>
        </w:rPr>
        <w:t>.01.19</w:t>
      </w:r>
      <w:r w:rsidRPr="000754E6">
        <w:rPr>
          <w:kern w:val="28"/>
        </w:rPr>
        <w:t>99, № 1, рег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№ 1/0 от 04</w:t>
      </w:r>
      <w:r w:rsidR="000754E6">
        <w:rPr>
          <w:kern w:val="28"/>
        </w:rPr>
        <w:t>.01.19</w:t>
      </w:r>
      <w:r w:rsidRPr="000754E6">
        <w:rPr>
          <w:kern w:val="28"/>
        </w:rPr>
        <w:t>99</w:t>
      </w:r>
      <w:r w:rsidR="000754E6" w:rsidRPr="000754E6">
        <w:rPr>
          <w:kern w:val="28"/>
        </w:rPr>
        <w:t xml:space="preserve">). </w:t>
      </w:r>
      <w:r w:rsidRPr="000754E6">
        <w:rPr>
          <w:kern w:val="28"/>
        </w:rPr>
        <w:t>ЮРИДИЧЕСКАЯ СПРАВОЧНО-ИНФОРМАЦИОННАЯ АВТОМАТИЗИРОВАННАЯ СИСТЕМА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ЮСИАС</w:t>
      </w:r>
      <w:r w:rsidR="000754E6">
        <w:rPr>
          <w:kern w:val="28"/>
        </w:rPr>
        <w:t xml:space="preserve">" </w:t>
      </w:r>
      <w:r w:rsidR="000754E6" w:rsidRPr="000754E6">
        <w:rPr>
          <w:kern w:val="28"/>
        </w:rPr>
        <w:t xml:space="preserve">- </w:t>
      </w:r>
      <w:r w:rsidRPr="000754E6">
        <w:rPr>
          <w:kern w:val="28"/>
        </w:rPr>
        <w:t>2008г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Банковский кодекс Республики Беларусь от 25 октября 2000г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№ 441-З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Принят Палатой представителей 3 октября 2000 года Одобрен Советом Республики 12 октября 2000 года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Национальный реестр правовых актов Республики Беларусь, 17</w:t>
      </w:r>
      <w:r w:rsidR="000754E6">
        <w:rPr>
          <w:kern w:val="28"/>
        </w:rPr>
        <w:t>.11.20</w:t>
      </w:r>
      <w:r w:rsidRPr="000754E6">
        <w:rPr>
          <w:kern w:val="28"/>
        </w:rPr>
        <w:t>00, № 106, рег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№ 2/219 от 3</w:t>
      </w:r>
      <w:r w:rsidR="000754E6">
        <w:rPr>
          <w:kern w:val="28"/>
        </w:rPr>
        <w:t xml:space="preserve">1.10 </w:t>
      </w:r>
      <w:r w:rsidRPr="000754E6">
        <w:rPr>
          <w:kern w:val="28"/>
        </w:rPr>
        <w:t>2000</w:t>
      </w:r>
      <w:r w:rsidR="000754E6" w:rsidRPr="000754E6">
        <w:rPr>
          <w:kern w:val="28"/>
        </w:rPr>
        <w:t xml:space="preserve">). </w:t>
      </w:r>
      <w:r w:rsidRPr="000754E6">
        <w:rPr>
          <w:kern w:val="28"/>
        </w:rPr>
        <w:t>ЮРИДИЧЕСКАЯ СПРАВОЧНО-ИНФОРМАЦИОННАЯ АВТОМАТИЗИРОВАННАЯ СИСТЕМА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ЮСИАС</w:t>
      </w:r>
      <w:r w:rsidR="000754E6">
        <w:rPr>
          <w:kern w:val="28"/>
        </w:rPr>
        <w:t xml:space="preserve">" </w:t>
      </w:r>
      <w:r w:rsidR="000754E6" w:rsidRPr="000754E6">
        <w:rPr>
          <w:kern w:val="28"/>
        </w:rPr>
        <w:t xml:space="preserve">- </w:t>
      </w:r>
      <w:r w:rsidRPr="000754E6">
        <w:rPr>
          <w:kern w:val="28"/>
        </w:rPr>
        <w:t>2008г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Налоговый кодекс Республики Беларусь от 19 декабря 2002 г</w:t>
      </w:r>
      <w:r w:rsidR="000754E6">
        <w:rPr>
          <w:kern w:val="28"/>
        </w:rPr>
        <w:t xml:space="preserve">." </w:t>
      </w:r>
      <w:r w:rsidRPr="000754E6">
        <w:rPr>
          <w:kern w:val="28"/>
        </w:rPr>
        <w:t>166-З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Принят Палатой представителей 15 ноября 2002 года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Одобрен Советом Республики 2 декабря 2002 года</w:t>
      </w:r>
      <w:r w:rsidR="000754E6" w:rsidRPr="000754E6">
        <w:rPr>
          <w:kern w:val="28"/>
        </w:rPr>
        <w:t>.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Национальный реестр правовых актов Республики Беларусь, 13</w:t>
      </w:r>
      <w:r w:rsidR="000754E6">
        <w:rPr>
          <w:kern w:val="28"/>
        </w:rPr>
        <w:t>.01.20</w:t>
      </w:r>
      <w:r w:rsidRPr="000754E6">
        <w:rPr>
          <w:kern w:val="28"/>
        </w:rPr>
        <w:t>03, № 4, рег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№ 2/920 от 02</w:t>
      </w:r>
      <w:r w:rsidR="000754E6">
        <w:rPr>
          <w:kern w:val="28"/>
        </w:rPr>
        <w:t>.01.20</w:t>
      </w:r>
      <w:r w:rsidRPr="000754E6">
        <w:rPr>
          <w:kern w:val="28"/>
        </w:rPr>
        <w:t>03</w:t>
      </w:r>
      <w:r w:rsidR="000754E6" w:rsidRPr="000754E6">
        <w:rPr>
          <w:kern w:val="28"/>
        </w:rPr>
        <w:t xml:space="preserve">). </w:t>
      </w:r>
      <w:r w:rsidRPr="000754E6">
        <w:rPr>
          <w:kern w:val="28"/>
        </w:rPr>
        <w:t>ЮРИДИЧЕСКАЯ СПРАВОЧНО-ИНФОРМАЦИОННАЯ АВТОМАТИЗИРОВАННАЯ СИСТЕМА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ЮСИАС</w:t>
      </w:r>
      <w:r w:rsidR="000754E6">
        <w:rPr>
          <w:kern w:val="28"/>
        </w:rPr>
        <w:t xml:space="preserve">" </w:t>
      </w:r>
      <w:r w:rsidR="000754E6" w:rsidRPr="000754E6">
        <w:rPr>
          <w:kern w:val="28"/>
        </w:rPr>
        <w:t xml:space="preserve">- </w:t>
      </w:r>
      <w:r w:rsidRPr="000754E6">
        <w:rPr>
          <w:kern w:val="28"/>
        </w:rPr>
        <w:t>2008г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Закон Республики Беларусь от 22 июля 2003 года №226-3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О валютном регулировании и валютном контроле</w:t>
      </w:r>
      <w:r w:rsidR="000754E6">
        <w:rPr>
          <w:kern w:val="28"/>
        </w:rPr>
        <w:t xml:space="preserve">". </w:t>
      </w:r>
      <w:r w:rsidRPr="000754E6">
        <w:rPr>
          <w:kern w:val="28"/>
        </w:rPr>
        <w:t>Принят Палатой представителей 25 июня 2003 года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Одобрен Советом Республики 30 июня 2003 года</w:t>
      </w:r>
      <w:r w:rsidR="000754E6" w:rsidRPr="000754E6">
        <w:rPr>
          <w:kern w:val="28"/>
        </w:rPr>
        <w:t>.</w:t>
      </w:r>
      <w:r w:rsidR="000754E6">
        <w:rPr>
          <w:kern w:val="28"/>
        </w:rPr>
        <w:t xml:space="preserve"> (</w:t>
      </w:r>
      <w:r w:rsidRPr="000754E6">
        <w:rPr>
          <w:kern w:val="28"/>
        </w:rPr>
        <w:t>Национальный реестр правовых актов Республики Беларусь, 04</w:t>
      </w:r>
      <w:r w:rsidR="000754E6">
        <w:rPr>
          <w:kern w:val="28"/>
        </w:rPr>
        <w:t>.08.20</w:t>
      </w:r>
      <w:r w:rsidRPr="000754E6">
        <w:rPr>
          <w:kern w:val="28"/>
        </w:rPr>
        <w:t>03, № 85, рег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№ 2/978 от 25</w:t>
      </w:r>
      <w:r w:rsidR="000754E6">
        <w:rPr>
          <w:kern w:val="28"/>
        </w:rPr>
        <w:t>.07.20</w:t>
      </w:r>
      <w:r w:rsidRPr="000754E6">
        <w:rPr>
          <w:kern w:val="28"/>
        </w:rPr>
        <w:t>03</w:t>
      </w:r>
      <w:r w:rsidR="000754E6" w:rsidRPr="000754E6">
        <w:rPr>
          <w:kern w:val="28"/>
        </w:rPr>
        <w:t xml:space="preserve">). </w:t>
      </w:r>
      <w:r w:rsidRPr="000754E6">
        <w:rPr>
          <w:kern w:val="28"/>
        </w:rPr>
        <w:t>ЮРИДИЧЕСКАЯ СПРАВОЧНО-ИНФОРМАЦИОННАЯ АВТОМАТИЗИРОВАННАЯ СИСТЕМА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ЮСИАС</w:t>
      </w:r>
      <w:r w:rsidR="000754E6">
        <w:rPr>
          <w:kern w:val="28"/>
        </w:rPr>
        <w:t xml:space="preserve">" </w:t>
      </w:r>
      <w:r w:rsidR="000754E6" w:rsidRPr="000754E6">
        <w:rPr>
          <w:kern w:val="28"/>
        </w:rPr>
        <w:t xml:space="preserve">- </w:t>
      </w:r>
      <w:r w:rsidRPr="000754E6">
        <w:rPr>
          <w:kern w:val="28"/>
        </w:rPr>
        <w:t>2008г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Горбунова О</w:t>
      </w:r>
      <w:r w:rsidR="000754E6">
        <w:rPr>
          <w:kern w:val="28"/>
        </w:rPr>
        <w:t xml:space="preserve">.Н., </w:t>
      </w:r>
      <w:r w:rsidRPr="000754E6">
        <w:rPr>
          <w:kern w:val="28"/>
        </w:rPr>
        <w:t>Грачева Е</w:t>
      </w:r>
      <w:r w:rsidR="000754E6">
        <w:rPr>
          <w:kern w:val="28"/>
        </w:rPr>
        <w:t xml:space="preserve">.Ю. </w:t>
      </w:r>
      <w:r w:rsidRPr="000754E6">
        <w:rPr>
          <w:kern w:val="28"/>
        </w:rPr>
        <w:t>Система финансового права</w:t>
      </w:r>
      <w:r w:rsidR="000754E6">
        <w:rPr>
          <w:kern w:val="28"/>
        </w:rPr>
        <w:t xml:space="preserve"> // </w:t>
      </w:r>
      <w:r w:rsidRPr="000754E6">
        <w:rPr>
          <w:kern w:val="28"/>
        </w:rPr>
        <w:t>Финансовое право</w:t>
      </w:r>
      <w:r w:rsidR="000754E6" w:rsidRPr="000754E6">
        <w:rPr>
          <w:kern w:val="28"/>
        </w:rPr>
        <w:t xml:space="preserve">: </w:t>
      </w:r>
      <w:r w:rsidRPr="000754E6">
        <w:rPr>
          <w:kern w:val="28"/>
        </w:rPr>
        <w:t>Учебник / Отв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ред</w:t>
      </w:r>
      <w:r w:rsidR="000754E6">
        <w:rPr>
          <w:kern w:val="28"/>
        </w:rPr>
        <w:t xml:space="preserve">.Е.Ю. </w:t>
      </w:r>
      <w:r w:rsidRPr="000754E6">
        <w:rPr>
          <w:kern w:val="28"/>
        </w:rPr>
        <w:t>Грачевой, Г</w:t>
      </w:r>
      <w:r w:rsidR="000754E6">
        <w:rPr>
          <w:kern w:val="28"/>
        </w:rPr>
        <w:t xml:space="preserve">.П. </w:t>
      </w:r>
      <w:r w:rsidRPr="000754E6">
        <w:rPr>
          <w:kern w:val="28"/>
        </w:rPr>
        <w:t>Толстопятенко</w:t>
      </w:r>
      <w:r w:rsidR="000754E6" w:rsidRPr="000754E6">
        <w:rPr>
          <w:kern w:val="28"/>
        </w:rPr>
        <w:t>. -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М</w:t>
      </w:r>
      <w:r w:rsidR="000754E6" w:rsidRPr="000754E6">
        <w:rPr>
          <w:kern w:val="28"/>
        </w:rPr>
        <w:t>. -</w:t>
      </w:r>
      <w:r w:rsidR="000754E6">
        <w:rPr>
          <w:kern w:val="28"/>
        </w:rPr>
        <w:t xml:space="preserve"> </w:t>
      </w:r>
      <w:r w:rsidRPr="000754E6">
        <w:rPr>
          <w:kern w:val="28"/>
        </w:rPr>
        <w:t>2006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Л</w:t>
      </w:r>
      <w:r w:rsidR="000754E6">
        <w:rPr>
          <w:kern w:val="28"/>
        </w:rPr>
        <w:t xml:space="preserve">.А. </w:t>
      </w:r>
      <w:r w:rsidRPr="000754E6">
        <w:rPr>
          <w:kern w:val="28"/>
        </w:rPr>
        <w:t>Ханкевич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Финансовое право Республики Беларусь</w:t>
      </w:r>
      <w:r w:rsidR="000754E6">
        <w:rPr>
          <w:kern w:val="28"/>
        </w:rPr>
        <w:t xml:space="preserve">". </w:t>
      </w:r>
      <w:r w:rsidRPr="000754E6">
        <w:rPr>
          <w:kern w:val="28"/>
        </w:rPr>
        <w:t>Учебное пособие / Мн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Издательство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Амалфея</w:t>
      </w:r>
      <w:r w:rsidR="000754E6">
        <w:rPr>
          <w:kern w:val="28"/>
        </w:rPr>
        <w:t xml:space="preserve">" </w:t>
      </w:r>
      <w:r w:rsidRPr="000754E6">
        <w:rPr>
          <w:kern w:val="28"/>
        </w:rPr>
        <w:t>2002г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Финансовое право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Учебник / Под ред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проф</w:t>
      </w:r>
      <w:r w:rsidR="000754E6">
        <w:rPr>
          <w:kern w:val="28"/>
        </w:rPr>
        <w:t>.</w:t>
      </w:r>
      <w:r w:rsidR="004D4905">
        <w:rPr>
          <w:kern w:val="28"/>
        </w:rPr>
        <w:t xml:space="preserve"> </w:t>
      </w:r>
      <w:r w:rsidR="000754E6">
        <w:rPr>
          <w:kern w:val="28"/>
        </w:rPr>
        <w:t xml:space="preserve">О.Н. </w:t>
      </w:r>
      <w:r w:rsidRPr="000754E6">
        <w:rPr>
          <w:kern w:val="28"/>
        </w:rPr>
        <w:t>Горбуновой Издательство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Юристъ</w:t>
      </w:r>
      <w:r w:rsidR="000754E6">
        <w:rPr>
          <w:kern w:val="28"/>
        </w:rPr>
        <w:t xml:space="preserve">" </w:t>
      </w:r>
      <w:r w:rsidRPr="000754E6">
        <w:rPr>
          <w:kern w:val="28"/>
        </w:rPr>
        <w:t>М</w:t>
      </w:r>
      <w:r w:rsidR="000754E6" w:rsidRPr="000754E6">
        <w:rPr>
          <w:kern w:val="28"/>
        </w:rPr>
        <w:t>., 20</w:t>
      </w:r>
      <w:r w:rsidRPr="000754E6">
        <w:rPr>
          <w:kern w:val="28"/>
        </w:rPr>
        <w:t>03</w:t>
      </w:r>
      <w:r w:rsidR="000754E6" w:rsidRPr="000754E6">
        <w:rPr>
          <w:kern w:val="28"/>
        </w:rPr>
        <w:t>.</w:t>
      </w:r>
    </w:p>
    <w:p w:rsidR="000754E6" w:rsidRDefault="00EA73AF" w:rsidP="000754E6">
      <w:pPr>
        <w:pStyle w:val="a0"/>
        <w:rPr>
          <w:kern w:val="28"/>
        </w:rPr>
      </w:pPr>
      <w:r w:rsidRPr="000754E6">
        <w:rPr>
          <w:kern w:val="28"/>
        </w:rPr>
        <w:t>Финансовое право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Серия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Учебники, учебные пособия</w:t>
      </w:r>
      <w:r w:rsidR="000754E6">
        <w:rPr>
          <w:kern w:val="28"/>
        </w:rPr>
        <w:t xml:space="preserve">" </w:t>
      </w:r>
      <w:r w:rsidRPr="000754E6">
        <w:rPr>
          <w:kern w:val="28"/>
        </w:rPr>
        <w:t>/ Под ред</w:t>
      </w:r>
      <w:r w:rsidR="000754E6" w:rsidRPr="000754E6">
        <w:rPr>
          <w:kern w:val="28"/>
        </w:rPr>
        <w:t xml:space="preserve">. </w:t>
      </w:r>
      <w:r w:rsidRPr="000754E6">
        <w:rPr>
          <w:kern w:val="28"/>
        </w:rPr>
        <w:t>проф</w:t>
      </w:r>
      <w:r w:rsidR="000754E6">
        <w:rPr>
          <w:kern w:val="28"/>
        </w:rPr>
        <w:t>.</w:t>
      </w:r>
      <w:r w:rsidR="004D4905">
        <w:rPr>
          <w:kern w:val="28"/>
        </w:rPr>
        <w:t xml:space="preserve"> </w:t>
      </w:r>
      <w:r w:rsidR="000754E6">
        <w:rPr>
          <w:kern w:val="28"/>
        </w:rPr>
        <w:t xml:space="preserve">В.М. </w:t>
      </w:r>
      <w:r w:rsidRPr="000754E6">
        <w:rPr>
          <w:kern w:val="28"/>
        </w:rPr>
        <w:t>Мандрина Ростов-на-Дону Издательство</w:t>
      </w:r>
      <w:r w:rsidR="000754E6">
        <w:rPr>
          <w:kern w:val="28"/>
        </w:rPr>
        <w:t xml:space="preserve"> "</w:t>
      </w:r>
      <w:r w:rsidRPr="000754E6">
        <w:rPr>
          <w:kern w:val="28"/>
        </w:rPr>
        <w:t>Феникс</w:t>
      </w:r>
      <w:r w:rsidR="000754E6">
        <w:rPr>
          <w:kern w:val="28"/>
        </w:rPr>
        <w:t xml:space="preserve">", </w:t>
      </w:r>
      <w:r w:rsidRPr="000754E6">
        <w:rPr>
          <w:kern w:val="28"/>
        </w:rPr>
        <w:t>2002</w:t>
      </w:r>
      <w:r w:rsidR="000754E6" w:rsidRPr="000754E6">
        <w:rPr>
          <w:kern w:val="28"/>
        </w:rPr>
        <w:t>.</w:t>
      </w:r>
    </w:p>
    <w:p w:rsidR="00AD3425" w:rsidRPr="000754E6" w:rsidRDefault="00AD3425" w:rsidP="000754E6">
      <w:bookmarkStart w:id="0" w:name="_GoBack"/>
      <w:bookmarkEnd w:id="0"/>
    </w:p>
    <w:sectPr w:rsidR="00AD3425" w:rsidRPr="000754E6" w:rsidSect="000754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AB" w:rsidRDefault="000C37AB">
      <w:r>
        <w:separator/>
      </w:r>
    </w:p>
  </w:endnote>
  <w:endnote w:type="continuationSeparator" w:id="0">
    <w:p w:rsidR="000C37AB" w:rsidRDefault="000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4E6" w:rsidRDefault="000754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4E6" w:rsidRDefault="000754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AB" w:rsidRDefault="000C37AB">
      <w:r>
        <w:separator/>
      </w:r>
    </w:p>
  </w:footnote>
  <w:footnote w:type="continuationSeparator" w:id="0">
    <w:p w:rsidR="000C37AB" w:rsidRDefault="000C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4E6" w:rsidRDefault="001D01A9" w:rsidP="00C81C7C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0754E6" w:rsidRDefault="000754E6" w:rsidP="00C81C7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4E6" w:rsidRDefault="000754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413EF7"/>
    <w:multiLevelType w:val="singleLevel"/>
    <w:tmpl w:val="96CA53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1CBF9050"/>
    <w:multiLevelType w:val="multilevel"/>
    <w:tmpl w:val="0172E47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C7C"/>
    <w:rsid w:val="00021EEC"/>
    <w:rsid w:val="000674FC"/>
    <w:rsid w:val="000754E6"/>
    <w:rsid w:val="000C37AB"/>
    <w:rsid w:val="001D01A9"/>
    <w:rsid w:val="002E599E"/>
    <w:rsid w:val="004D4905"/>
    <w:rsid w:val="005166C8"/>
    <w:rsid w:val="009450BC"/>
    <w:rsid w:val="00AD3425"/>
    <w:rsid w:val="00C81C7C"/>
    <w:rsid w:val="00E07651"/>
    <w:rsid w:val="00E42616"/>
    <w:rsid w:val="00E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849F0C-62F5-4033-8A36-E7AF907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54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54E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54E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754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54E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54E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54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54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54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0754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754E6"/>
    <w:rPr>
      <w:vertAlign w:val="superscript"/>
    </w:rPr>
  </w:style>
  <w:style w:type="character" w:styleId="ab">
    <w:name w:val="page number"/>
    <w:uiPriority w:val="99"/>
    <w:rsid w:val="000754E6"/>
  </w:style>
  <w:style w:type="paragraph" w:styleId="a8">
    <w:name w:val="Body Text"/>
    <w:basedOn w:val="a2"/>
    <w:link w:val="ac"/>
    <w:uiPriority w:val="99"/>
    <w:rsid w:val="000754E6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754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выделение"/>
    <w:uiPriority w:val="99"/>
    <w:rsid w:val="000754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754E6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0754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754E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0754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754E6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754E6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754E6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0754E6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754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754E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754E6"/>
    <w:rPr>
      <w:sz w:val="28"/>
      <w:szCs w:val="28"/>
    </w:rPr>
  </w:style>
  <w:style w:type="paragraph" w:styleId="af7">
    <w:name w:val="Normal (Web)"/>
    <w:basedOn w:val="a2"/>
    <w:uiPriority w:val="99"/>
    <w:rsid w:val="000754E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754E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754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54E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54E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54E6"/>
    <w:pPr>
      <w:ind w:left="958"/>
    </w:pPr>
  </w:style>
  <w:style w:type="paragraph" w:styleId="23">
    <w:name w:val="Body Text Indent 2"/>
    <w:basedOn w:val="a2"/>
    <w:link w:val="24"/>
    <w:uiPriority w:val="99"/>
    <w:rsid w:val="000754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754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754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754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54E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54E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754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54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754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54E6"/>
    <w:rPr>
      <w:i/>
      <w:iCs/>
    </w:rPr>
  </w:style>
  <w:style w:type="paragraph" w:customStyle="1" w:styleId="afa">
    <w:name w:val="ТАБЛИЦА"/>
    <w:next w:val="a2"/>
    <w:autoRedefine/>
    <w:uiPriority w:val="99"/>
    <w:rsid w:val="000754E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754E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754E6"/>
  </w:style>
  <w:style w:type="table" w:customStyle="1" w:styleId="15">
    <w:name w:val="Стиль таблицы1"/>
    <w:uiPriority w:val="99"/>
    <w:rsid w:val="000754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754E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754E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754E6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754E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754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ВАЛЮТНЫЙ КОНТРОЛЬ В 2010 ГОДУ</vt:lpstr>
    </vt:vector>
  </TitlesOfParts>
  <Company>Microsoft</Company>
  <LinksUpToDate>false</LinksUpToDate>
  <CharactersWithSpaces>29333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ВАЛЮТНЫЙ КОНТРОЛЬ В 2010 ГОДУ</dc:title>
  <dc:subject/>
  <dc:creator>Admin</dc:creator>
  <cp:keywords/>
  <dc:description/>
  <cp:lastModifiedBy>admin</cp:lastModifiedBy>
  <cp:revision>2</cp:revision>
  <dcterms:created xsi:type="dcterms:W3CDTF">2014-02-23T16:33:00Z</dcterms:created>
  <dcterms:modified xsi:type="dcterms:W3CDTF">2014-02-23T16:33:00Z</dcterms:modified>
</cp:coreProperties>
</file>