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EF" w:rsidRPr="00527F95" w:rsidRDefault="000E37EF" w:rsidP="000E37EF">
      <w:pPr>
        <w:spacing w:before="120"/>
        <w:jc w:val="center"/>
        <w:rPr>
          <w:b/>
          <w:bCs/>
          <w:sz w:val="32"/>
          <w:szCs w:val="32"/>
        </w:rPr>
      </w:pPr>
      <w:r w:rsidRPr="00527F95">
        <w:rPr>
          <w:b/>
          <w:bCs/>
          <w:sz w:val="32"/>
          <w:szCs w:val="32"/>
        </w:rPr>
        <w:t>Валютный контроль</w:t>
      </w:r>
    </w:p>
    <w:p w:rsidR="000E37EF" w:rsidRPr="00527F95" w:rsidRDefault="000E37EF" w:rsidP="000E37EF">
      <w:pPr>
        <w:spacing w:before="120"/>
        <w:jc w:val="center"/>
        <w:rPr>
          <w:b/>
          <w:bCs/>
          <w:sz w:val="28"/>
          <w:szCs w:val="28"/>
        </w:rPr>
      </w:pPr>
      <w:r w:rsidRPr="00527F95">
        <w:rPr>
          <w:b/>
          <w:bCs/>
          <w:sz w:val="28"/>
          <w:szCs w:val="28"/>
        </w:rPr>
        <w:t>Введение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Правовые основы регулирования валютного контроля в Российской Федерации определены разделом III Закона РФ «О валютном регулировании и валютном контроле» от 9 октября 1992 года №3615-1.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Настоящий Закон определяет принципы осуществления валютных операций в Российской Федерации, полномочия и функции органов валютного регулирования и валютного контроля, права и обязанности юридических и физических лиц в отношении владения, пользования и распоряжения валютными ценностями, ответственность за нарушение валютного законодательства.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Понятия, используемые в настоящем Законе, означают следующее:</w:t>
      </w:r>
      <w:r w:rsidRPr="00527F95">
        <w:footnoteReference w:id="1"/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«Валюта Российской Федерации»: - находящиеся в обращении, а также изъятые или изымаемые из обращения, но подлежащие обмену рубли в виде банковских билетов Центрального банка РФ и монеты; средства в рублях на счетах в банках и иных кредитных учреждениях в РФ; средства в рублях на счетах в банках и иных кредитных учреждениях за пределами РФ на основании соглашения, заключаемого Правительством РФ и Центральным банком РФ с соответствующими органами иностранного государства об использовании на территории данного государства валюты РФ в качестве законного платёжного средства.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«Ценные бумаги, номинированные в валюте РФ» - платёжные документы (чеки, векселя и др.), эмиссионные ценные бумаги (акции и облигации), ценные бумаги. Производные от эмиссионных ценных бумаг, опции, дающие право на приобретение эмиссионных ценных бумаг, и другие долговые обязательства, выраженные в валюте РФ.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«Иностранная валюта» - денежные знаки в виде банкнот, казначейских билетов, монеты, находящиеся в обращении и являющиеся законным платёжным средством в соответствующем иностранном государстве или группе государств, а также изъятые или изымаемые из обращения, но подлежащие обмену денежные знаки; средства на счетах в денежных единицах иностранных государств и международных денежных или расчётных единиц.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«Валютные ценности» - иностранная валюта; ценные бумаги, номинированные в иностранной валюте; драгоценные металлы, за исключением ювелирных и других бытовых изделий, а также лома таких изделий; природные драгоценные камни, за исключением ювелирных и других бытовых изделий, а также лома таких изделий.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«Резиденты» - физические лица, имеющие постоянное место жительство в РФ, в том числе временно находящиеся за пределами РФ; юридические лица, созданные в соответствии с законодательством РФ, с местонахождением в РФ; предприятия и организации, не являющиеся юридическими лицами, созданные в соответствии с законодательством РФ, с местонахождением в РФ; дипломатические и иные официальные представительства РФ, находящиеся за пределами РФ.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«Нерезиденты» - физические лица, имеющие постоянное место жительство за пределами РФ, в том числе временно находящиеся за пределами РФ; юридические лица, созданные в соответствии с законодательством иностранных государств, с местонахождением за пределами РФ; предприятия и организации, не являющиеся юридическими лицами, созданные в соответствии с законодательством иностранных государств, с местонахождением за пределами РФ; находящиеся в РФ иностранные дипломатические и иные официальные представительства, а также международные организации, их филиалы и представительства.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«Валютные операции» - операции, связанные с переходом права собственности и иных прав на валютные ценности, в том числе операции, связанные с использованием в качестве средства платежа иностранной валюты и платёжных документов в иностранной валюте; ввоз и пересылка в РФ, а также вывоз и пересылка</w:t>
      </w:r>
      <w:r>
        <w:t xml:space="preserve"> </w:t>
      </w:r>
      <w:r w:rsidRPr="00527F95">
        <w:t>из РФ валютных ценностей; осуществление международных денежных переводов; расчёты между резидентами и нерезидентами в валюте РФ.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Операции с иностранной валютой и ценными бумагами в иностранной валюте подразделяются на текущие валютные операции и валютные операции, связанные с движением капитала.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«Текущие валютные операции» - переводы в РФ и из РФ иностранной валюты для осуществления расчётов без отсрочки платежа по экспорту и импорту товаров, также для осуществления расчётов, связанных с кредитованием экспортно-импортных операций на срок не более 90 дней; получение и предоставление финансовых кредитов на срок не более 180 дней; переводы в РФ и из РФ процентов, дивидендов</w:t>
      </w:r>
      <w:r>
        <w:t xml:space="preserve"> </w:t>
      </w:r>
      <w:r w:rsidRPr="00527F95">
        <w:t>и иных доходов по вкладам, инвестициям, кредитам и прочим операциям, связанным с движением капитала; переводы неторгового характера в РФ и из РФ.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«Валютные операции, связанные с движением капитала» - прямые инвестиции; портфельные инвестиции; переводы в оплату права собственности на здания, сооружения и иное имущество, включая землю и её недра, относимое по законодательству страны его местонахождения к недвижимому имуществу, а также иных прав на недвижимость; предоставление и получение отсрочки платежа на срок более 90 дней по экспорту и импорту товаров; предоставление и получение финансовых кредитов на срок более 180 дней; все иные валютные операции, не являющиеся текущими валютными операциями.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«Уполномоченные банки» - банки и иные кредитные учреждения, получившие лицензии Центрального банка РФ на проведение валютных операций.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«Свободно конвертируемая валюта» - иностранная валюта, которая без ограничений обменивается на валюту другого иностранного государства при осуществлении текущих валютных операций.</w:t>
      </w:r>
    </w:p>
    <w:p w:rsidR="000E37EF" w:rsidRDefault="000E37EF" w:rsidP="000E37EF">
      <w:pPr>
        <w:spacing w:before="120"/>
        <w:ind w:firstLine="567"/>
        <w:jc w:val="both"/>
      </w:pPr>
      <w:r w:rsidRPr="00527F95">
        <w:t>Для целей настоящего Закона отсчёт сроков платежа при осуществлении расчётов, связанных с экспортом товаров, ведётся с даты фактического пересечения экспортируемыми товарами таможенной границы РФ.</w:t>
      </w:r>
      <w:r w:rsidRPr="00527F95">
        <w:footnoteReference w:id="2"/>
      </w:r>
    </w:p>
    <w:p w:rsidR="000E37EF" w:rsidRPr="00527F95" w:rsidRDefault="000E37EF" w:rsidP="000E37EF">
      <w:pPr>
        <w:spacing w:before="120"/>
        <w:jc w:val="center"/>
        <w:rPr>
          <w:b/>
          <w:bCs/>
          <w:sz w:val="28"/>
          <w:szCs w:val="28"/>
        </w:rPr>
      </w:pPr>
      <w:r w:rsidRPr="00527F95">
        <w:rPr>
          <w:b/>
          <w:bCs/>
          <w:sz w:val="28"/>
          <w:szCs w:val="28"/>
        </w:rPr>
        <w:t>I. Цель и направления валютного контроля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Основной целью валютного контроля является обеспечение соблюдения валютного законодательства при осуществлении валютных операций</w:t>
      </w:r>
      <w:r w:rsidRPr="00527F95">
        <w:footnoteReference w:id="3"/>
      </w:r>
      <w:r w:rsidRPr="00527F95">
        <w:t>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Особым направлением валютного контроля является контроль за соблюдением валютного законодательства при осуществлении внешнеторговой деятельности - предпринимательской деятельности в области международного обмена товарами, работами, услугами, информацией, результатами интеллектуальной деятельности,</w:t>
      </w:r>
      <w:r>
        <w:t xml:space="preserve"> </w:t>
      </w:r>
      <w:r w:rsidRPr="00527F95">
        <w:t>в том числе исключительными правами на них</w:t>
      </w:r>
      <w:r w:rsidRPr="00527F95">
        <w:footnoteReference w:id="4"/>
      </w:r>
      <w:r w:rsidRPr="00527F95">
        <w:t>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В соответствии со ст.10 Закона РФ «О валютном регулировании и валютном контроле» валютный контроль за осуществлением внешнеторговой деятельности ведется по следующим основным направлениям :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 xml:space="preserve">определение соответствия проводимых валютных операций действующему законодательству и наличия необходимых для них лицензий 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проверка выполнения резидентами обязательств в иностранной валюте перед государством, а также обязательств по продаже валюты на внутреннем валютном рынке Российской Федерации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проверка обоснованности платежей в валюте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проверка полноты и объективности учета и отчетности по валютным операциям</w:t>
      </w:r>
    </w:p>
    <w:p w:rsidR="000E37EF" w:rsidRDefault="000E37EF" w:rsidP="000E37EF">
      <w:pPr>
        <w:spacing w:before="120"/>
        <w:ind w:firstLine="567"/>
        <w:jc w:val="both"/>
      </w:pPr>
      <w:r w:rsidRPr="00527F95">
        <w:t>Для реализации поставленных задач было начато формирование механизмы валютного контроля за внешнеторговой деятельностью. Под которыми понимается совокупность специальных институтов, органов, лиц, участвующих в процессе валютного контроля (субъективная составляющая),</w:t>
      </w:r>
      <w:r>
        <w:t xml:space="preserve"> </w:t>
      </w:r>
      <w:r w:rsidRPr="00527F95">
        <w:t>а так же набор форм и методов контрольной деятельности (функциональная составляющая).</w:t>
      </w:r>
    </w:p>
    <w:p w:rsidR="000E37EF" w:rsidRPr="00527F95" w:rsidRDefault="000E37EF" w:rsidP="000E37EF">
      <w:pPr>
        <w:spacing w:before="120"/>
        <w:jc w:val="center"/>
        <w:rPr>
          <w:b/>
          <w:bCs/>
          <w:sz w:val="28"/>
          <w:szCs w:val="28"/>
        </w:rPr>
      </w:pPr>
      <w:r w:rsidRPr="00527F95">
        <w:t xml:space="preserve">II. </w:t>
      </w:r>
      <w:r w:rsidRPr="00527F95">
        <w:rPr>
          <w:b/>
          <w:bCs/>
          <w:sz w:val="28"/>
          <w:szCs w:val="28"/>
        </w:rPr>
        <w:t>Характеристика органов и агентов валютного контроля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Валютный контроль в Российской Федерации осуществляется Правительством Российской Федерации, органами валютного контроля и агентами валютного контроля в соответствии с законодательством Российской Федерации.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Органами валютного контроля в Российской Федерации являются Центральный банк Российской Федерации, а также Правительство Российской Федерации в лице таких органов, как Министерство финансов Российской Федерации, Федеральная служба России по валютному и экспортному контролю (ВЭК), Государственный таможенный комитет Российской Федерации, правоохранительные органы.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Агентами валютного контроля являются организации, которые в соответствии с законодательством могут осуществлять функции валютного контроля. К агентам валютного контроля в настоящее время отнесены уполномоченные банки, подотчётные Центральному банку Российской Федерации и иные небанковские кредитные организации, имеющие лицензии на осуществление валютных операций, подотчётные федеральным органам исполнительной власти, в соответствии с законодательством Российской Федерации.</w:t>
      </w:r>
      <w:r w:rsidRPr="00527F95">
        <w:footnoteReference w:id="5"/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Основным органом валютного регулирования является Центральный банк Российской Федерации, уполномоченный: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определять сферу и порядок обращения в Российской Федерации иностранной валюты;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издавать нормативные акты, обязательные к исполнению на территории России резидентами и нерезидентами;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 xml:space="preserve">проводить все виды валютных операций; 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устанавливать правила проведения резидентами и нерезидентами в РФ операций с иностранной валютой и ценными бумагами в иностранной валюте, а также правила проведения нерезидентами в РФ операций с валютой РФ и ценными бумагами в валюте РФ;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устанавливать порядок обязательного перевода, ввоза и пересылки в Российскую Федерацию иностранной валюты и ценных бумаг в иностранной валюте, принадлежащих резидентам, а также случаи и условия открытия резидентами счетов в иностранной валюте в банках за пределами РФ;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устанавливать общие правила выдачи лицензий банкам и иным кредитным учреждениям на осуществление валютных операций и выдавать такие лицензии;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устанавливать единые формы учёта, отчётности, документации и статистики валютных операций, в том числе уполномоченными банками, а также порядок и сроки их представления;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готовить и публиковать статистику валютных операций Российской Федерации по принятым международным стандартам.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а также выполнять иные функции, предусмотренные настоящим Законом.</w:t>
      </w:r>
      <w:r w:rsidRPr="00527F95">
        <w:footnoteReference w:id="6"/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Постановлением Правительства РФ от 6 марта 1993 года «Об усилении валютного экспортного контроля и о развитии валютного рынка» создана Федеральная служба России по валютному и экспортному контролю.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Федеральная служба по валютному и экспортному контролю выполняет следующие функции: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контролирует соблюдение резидентами и нерезидентами законодательства России и ведомственных нормативных актов, регулирующих осуществление валютных операций, и выполнение резидентами обязательств перед государством в иностранной валюте;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осуществляет контроль за полнотой поступления в установленном порядке средств в иностранной валюте по внешнеэкономическим операциям;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участвует в ведении контроля за соблюдением порядка квотирования и лицензирования экспорта товаров и услуг и правильности использования полученных квот и лицензий;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осуществляет контроль за правомерностью предоставления или отказа в предоставлении права на экспорт стратегически важных сырьевых товаров предприятиям и организациям;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 xml:space="preserve">организует с участием других органов и агентов валютного и экспортного контроля, заинтересованных органов федеральной исполнительной власти проверки полноты и объективности учёта и отчётности по валютным, экспортным, импортным и иным внешнеэкономическим операциям, а также проверки операций нерезидентов в валюте Российской Федерации; 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контролирует эффективность использования кредитов в иностранной валюте, предоставляемых Российской Федерации на основе международных договоров и соглашений;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проводит анализ и обобщает практику валютного и экспортного контроля, в том числе в зарубежных странах, и представляет в установленном порядке предложения по развитию и совершенствованию законодательства России в этой области;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обеспечивает взаимодействие с органами валютного и экспортного контроля иностранных государств;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осуществляет иные функции, связанные с валютным и экспортным контролем, предусмотренные законодательством России.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Для осуществления перечисленных функций Федеральная служба имеет право: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получать от органов и агентов валютного и экспортного контроля</w:t>
      </w:r>
      <w:r>
        <w:t xml:space="preserve"> </w:t>
      </w:r>
      <w:r w:rsidRPr="00527F95">
        <w:t>необходимую информацию и документы;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проводить проверки финансовых и иных документов, связанных с осуществлением хозяйствующими субъектами внешнеэкономических операций, получением и переводом валютных ценностей, выполнением обязательств перед государством в иностранной валюте;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ставить вопрос в установленном порядке о приостановлении валютных, экспортно-импортных и иных внешнеэкономических операций, о лишении хозяйствующих субъектов лицензий и других прав В области внешнеэкономической деятельности, вносить в установленном порядке предложения по исключению хозяйствующих субъектов из перечня экспортёров стратегически важных сырьевых товаров в случаях непредставления (или отказа в представлении) органам федеральной службы соответствующих документов, связанных с проведением указанных операций;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иные права, предусмотренные законодательством.</w:t>
      </w:r>
      <w:r w:rsidRPr="00527F95">
        <w:footnoteReference w:id="7"/>
      </w:r>
    </w:p>
    <w:p w:rsidR="000E37EF" w:rsidRDefault="000E37EF" w:rsidP="000E37EF">
      <w:pPr>
        <w:spacing w:before="120"/>
        <w:ind w:firstLine="567"/>
        <w:jc w:val="both"/>
      </w:pPr>
      <w:r w:rsidRPr="00527F95">
        <w:t>Таможенный комитет как орган валютного контроля в соответствии со ст.199 Таможенного кодекса Российской Федерации осуществляет валютный контроль за перемещением лицами через таможенную границу валюты Российской Федерации, ценных бумаг в валюте Российской Федерации, валютных ценностей, а также за валютными операциями, связанными с перемещением через указанную границу товаров и транспортных средств.</w:t>
      </w:r>
    </w:p>
    <w:p w:rsidR="000E37EF" w:rsidRPr="00527F95" w:rsidRDefault="000E37EF" w:rsidP="000E37EF">
      <w:pPr>
        <w:spacing w:before="120"/>
        <w:jc w:val="center"/>
        <w:rPr>
          <w:b/>
          <w:bCs/>
          <w:sz w:val="28"/>
          <w:szCs w:val="28"/>
        </w:rPr>
      </w:pPr>
      <w:r w:rsidRPr="00527F95">
        <w:t xml:space="preserve">III. </w:t>
      </w:r>
      <w:r w:rsidRPr="00527F95">
        <w:rPr>
          <w:b/>
          <w:bCs/>
          <w:sz w:val="28"/>
          <w:szCs w:val="28"/>
        </w:rPr>
        <w:t>Ответственность за нарушение валютного законодательства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Основные виды ответственности установлены п.1 ст.14 Закона «О валютном регулировании и валютном контроле»</w:t>
      </w:r>
      <w:r w:rsidRPr="00527F95">
        <w:footnoteReference w:id="8"/>
      </w:r>
      <w:r w:rsidRPr="00527F95">
        <w:t>: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- взыскание в доход государства всего полученного по недействительным в силу настоящего Закона сделкам;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- взыскание в доход государства необоснованно приобретенного не по сделке, а в результате незаконных действий.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Резиденты и нерезиденты несут ответственность за следующие виды нарушений валютного законодательства: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отсутствие учёта валютных операций;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ведение учёта валютных операций с нарушением установленного порядка;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непредставление или несвоевременное представление органам и агентам валютного контроля документов и информации, за что нарушители несут ответственность в виде штрафов в пределах суммы, которая: а) не была учтена; б) была учтена ненадлежащим образом; в) по которой документация и информация не были представлены в установленном порядке.</w:t>
      </w:r>
      <w:r w:rsidRPr="00527F95">
        <w:footnoteReference w:id="9"/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При повторном нарушении указанных правил, а также за невыполнение или ненадлежащее выполнение предписаний органов валютного контроля резиденты и нерезиденты несут ответственность в виде: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- взыскания в доход государства сумм, указанных в п.1 ст.14 Закона, а также штрафов в пределах 5-кратного размера этих сумм, осуществляемого Центральным банком РФ в соответствии с законами РФ;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- приостановления действия или лишения резидентов или нерезидентов выданных органами валютного контроля лицензий и разрешений;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- других санкций, установленных законодательством Российской Федерации.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Взыскание, предусмотренных настоящей статьёй, санкций производится по решению соответствующих органов валютного контроля, в том числе по решению, вынесенному на основании представления агентов валютного контроля, с физических лиц в судебном порядке, а с юридических лиц применительно к порядку, установленному Кодексом РСФСР об административных нарушениях.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Постановление о применении санкций за нарушение валютного законодательства может быть обжаловано лицом, в отношении которого оно вынесено, в судебном порядке.</w:t>
      </w:r>
      <w:r w:rsidRPr="00527F95">
        <w:footnoteReference w:id="10"/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Жалоба на постановление о применении санкций за нарушение валютного законодательства может быть подана в течение 10 дней со дня вручения указанных постановления и предписания и должна быть рассмотрена правомочными на то органами в течении 10 дней со дня её поступления.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Обжалование указанных постановления или предписания в установленный срок приостанавливает их исполнение со дня принятия указанной жалобы к исполнению.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Взыскиваемые суммы должны быть уплачены не позднее 30 дней со дня вступления постановления о применении санкций за нарушение валютного законодательства в законную силу, а в случае обжалования указанного постановления – не позднее 15 дней со дня оставления указанной выше жалобы без удовлетворения.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В случае необжалования постановления о применении санкций за нарушение валютного законодательства и неуплаты взыскиваемых сумм за нарушение валютного законодательства добровольно в установленные сроки взыскание указанных санкций производится без применения судебной процедуры.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Должностные лица юридических лиц – резидентов, в том числе уполномоченных банков, и юридических лиц – нерезидентов, а также физические лица, виновные в нарушении валютного законодательства, несут уголовную, административную и гражданско-правовую ответственность в соответствии с законодательством Российской Федерации.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Взыскание штрафов и иных санкций производится органами валютного контроля: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с юридических лиц – в бесспорном порядке;</w:t>
      </w:r>
    </w:p>
    <w:p w:rsidR="000E37EF" w:rsidRDefault="000E37EF" w:rsidP="000E37EF">
      <w:pPr>
        <w:spacing w:before="120"/>
        <w:ind w:firstLine="567"/>
        <w:jc w:val="both"/>
      </w:pPr>
      <w:r w:rsidRPr="00527F95">
        <w:t>с физических лиц – в судебном порядке.</w:t>
      </w:r>
    </w:p>
    <w:p w:rsidR="000E37EF" w:rsidRPr="00527F95" w:rsidRDefault="000E37EF" w:rsidP="000E37EF">
      <w:pPr>
        <w:spacing w:before="120"/>
        <w:jc w:val="center"/>
        <w:rPr>
          <w:b/>
          <w:bCs/>
          <w:sz w:val="28"/>
          <w:szCs w:val="28"/>
        </w:rPr>
      </w:pPr>
      <w:r w:rsidRPr="00527F95">
        <w:rPr>
          <w:b/>
          <w:bCs/>
          <w:sz w:val="28"/>
          <w:szCs w:val="28"/>
        </w:rPr>
        <w:t>Заключение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Таким образом, главным нормативно-правовым актом, регулирующим валютные отношения, является Закон РФ «О валютном регулировании и валютном контроле» от 9 октября 1992 года . Закон устанавливает основные принципы проведения операций с валютой РФ и с иностранной валютой на территории РФ, разграничивает полномочия органов власти и определяет функции банковской системы в валютном регулировании и валютном управлении валютными ресурсами.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Валютное регулирование представляет собой законодательную форму осуществления валютной политики государства.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В свою очередь, валютная политика – составная часть общеэкономической, в том числе денежно-кредитной, политики государства, направленная на укрепление валютно-финансового положения страны, поддержание на высоком уровне её платёжеспособности и кредитоспособности, обеспечение поступления валюты из-за рубежа по внешнеэкономическому обороту, приостановку вывоза капитала за границу, привлечение иностранного капитала, укрепление российского рубля и т.д.</w:t>
      </w:r>
    </w:p>
    <w:p w:rsidR="000E37EF" w:rsidRDefault="000E37EF" w:rsidP="000E37EF">
      <w:pPr>
        <w:spacing w:before="120"/>
        <w:ind w:firstLine="567"/>
        <w:jc w:val="both"/>
      </w:pPr>
      <w:r w:rsidRPr="00527F95">
        <w:t>Юридически опосредуя реализацию валютной политики, валютное регулирование способствует решению данных задач и является одним из важнейших направлений финансовой деятельности государства.</w:t>
      </w:r>
    </w:p>
    <w:p w:rsidR="000E37EF" w:rsidRPr="00527F95" w:rsidRDefault="000E37EF" w:rsidP="000E37EF">
      <w:pPr>
        <w:spacing w:before="120"/>
        <w:jc w:val="center"/>
        <w:rPr>
          <w:b/>
          <w:bCs/>
          <w:sz w:val="28"/>
          <w:szCs w:val="28"/>
        </w:rPr>
      </w:pPr>
      <w:r w:rsidRPr="00527F95">
        <w:rPr>
          <w:b/>
          <w:bCs/>
          <w:sz w:val="28"/>
          <w:szCs w:val="28"/>
        </w:rPr>
        <w:t>Список литературы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 xml:space="preserve"> Грачёва Е.Ю., Куфакова Н.А., Пепеляев С.Г. Финансовое право России. – М.: ТЕИС, 1995.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Конституция РФ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Закон РФ «О валютном регулировании и валютном контроле»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Федеральный закон «О государственном регулировании внешнеторговой деятельности»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Федеральный Закон «О Центральном Банке Российской Федерации (Банке России)» от 2 декабря 1990 года.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Финансовое право. Сборник нормативных актов. Учебное пособие. – М.: «Издательство ПРИОР», 2002.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Финансовое право (конспект лекций) – М.: издательство ПРИОР, 2001.</w:t>
      </w:r>
    </w:p>
    <w:p w:rsidR="000E37EF" w:rsidRPr="00527F95" w:rsidRDefault="000E37EF" w:rsidP="000E37EF">
      <w:pPr>
        <w:spacing w:before="120"/>
        <w:ind w:firstLine="567"/>
        <w:jc w:val="both"/>
      </w:pPr>
      <w:r w:rsidRPr="00527F95">
        <w:t>«Финансовое и банковское право» словарь-справочник . Додонов В.Н., Крылова М.А., Шестаков А.В. Изд. «Инфра-М», Москва, 1997 г.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EF" w:rsidRDefault="000E37EF">
      <w:r>
        <w:separator/>
      </w:r>
    </w:p>
  </w:endnote>
  <w:endnote w:type="continuationSeparator" w:id="0">
    <w:p w:rsidR="000E37EF" w:rsidRDefault="000E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EF" w:rsidRDefault="000E37EF">
      <w:r>
        <w:separator/>
      </w:r>
    </w:p>
  </w:footnote>
  <w:footnote w:type="continuationSeparator" w:id="0">
    <w:p w:rsidR="000E37EF" w:rsidRDefault="000E37EF">
      <w:r>
        <w:continuationSeparator/>
      </w:r>
    </w:p>
  </w:footnote>
  <w:footnote w:id="1">
    <w:p w:rsidR="00B97F2E" w:rsidRDefault="000E37EF" w:rsidP="000E37EF">
      <w:pPr>
        <w:pStyle w:val="a4"/>
      </w:pPr>
      <w:r>
        <w:rPr>
          <w:rStyle w:val="a5"/>
        </w:rPr>
        <w:footnoteRef/>
      </w:r>
      <w:r>
        <w:t xml:space="preserve"> Финансовое право (конспект лекций) – М.: Издательство ПРИОР, 2001</w:t>
      </w:r>
    </w:p>
  </w:footnote>
  <w:footnote w:id="2">
    <w:p w:rsidR="00B97F2E" w:rsidRDefault="000E37EF" w:rsidP="000E37EF">
      <w:pPr>
        <w:pStyle w:val="a4"/>
        <w:ind w:left="-180" w:right="-284"/>
      </w:pPr>
      <w:r>
        <w:rPr>
          <w:rStyle w:val="a5"/>
        </w:rPr>
        <w:footnoteRef/>
      </w:r>
      <w:r>
        <w:t xml:space="preserve"> Финансовое право. Сборник нормативных актов. Учебное пособие. – М.: «Издательство ПРИОР», 2002. – 337-341с.</w:t>
      </w:r>
    </w:p>
  </w:footnote>
  <w:footnote w:id="3">
    <w:p w:rsidR="00B97F2E" w:rsidRDefault="000E37EF" w:rsidP="000E37EF">
      <w:pPr>
        <w:pStyle w:val="a4"/>
      </w:pPr>
      <w:r>
        <w:rPr>
          <w:rStyle w:val="a5"/>
        </w:rPr>
        <w:footnoteRef/>
      </w:r>
      <w:r>
        <w:t xml:space="preserve"> Ст. 10 Закона РФ «О валютном регулировании и валютном контроле»</w:t>
      </w:r>
    </w:p>
  </w:footnote>
  <w:footnote w:id="4">
    <w:p w:rsidR="00B97F2E" w:rsidRDefault="000E37EF" w:rsidP="000E37EF">
      <w:pPr>
        <w:pStyle w:val="a4"/>
      </w:pPr>
      <w:r>
        <w:rPr>
          <w:rStyle w:val="a5"/>
        </w:rPr>
        <w:footnoteRef/>
      </w:r>
      <w:r>
        <w:t xml:space="preserve"> Ст. 2 Федерального закона «О государственном регулировании внешнеторговой деятельности»</w:t>
      </w:r>
    </w:p>
  </w:footnote>
  <w:footnote w:id="5">
    <w:p w:rsidR="00B97F2E" w:rsidRDefault="000E37EF" w:rsidP="000E37EF">
      <w:pPr>
        <w:pStyle w:val="a4"/>
      </w:pPr>
      <w:r>
        <w:rPr>
          <w:rStyle w:val="a5"/>
        </w:rPr>
        <w:footnoteRef/>
      </w:r>
      <w:r>
        <w:t xml:space="preserve"> Грачёва Е.Ю., Куфакова Н.А., Пепеляев С.Г. Финансовое право России. – М.: ТЕИС, 1995.</w:t>
      </w:r>
    </w:p>
  </w:footnote>
  <w:footnote w:id="6">
    <w:p w:rsidR="00B97F2E" w:rsidRDefault="000E37EF" w:rsidP="000E37EF">
      <w:pPr>
        <w:pStyle w:val="a4"/>
      </w:pPr>
      <w:r>
        <w:rPr>
          <w:rStyle w:val="a5"/>
        </w:rPr>
        <w:footnoteRef/>
      </w:r>
      <w:r>
        <w:t xml:space="preserve"> Федеральный Закон «О Центральном Банке Российской Федерации(Банке России)» от 2 декабря 1990 года.</w:t>
      </w:r>
    </w:p>
  </w:footnote>
  <w:footnote w:id="7">
    <w:p w:rsidR="00B97F2E" w:rsidRDefault="000E37EF" w:rsidP="000E37EF">
      <w:pPr>
        <w:pStyle w:val="a4"/>
      </w:pPr>
      <w:r>
        <w:rPr>
          <w:rStyle w:val="a5"/>
        </w:rPr>
        <w:footnoteRef/>
      </w:r>
      <w:r>
        <w:t xml:space="preserve"> Финансовое право (конспект лекций) – М.: издательство ПРИОР, 2001., 166-167с.</w:t>
      </w:r>
    </w:p>
  </w:footnote>
  <w:footnote w:id="8">
    <w:p w:rsidR="00B97F2E" w:rsidRDefault="000E37EF" w:rsidP="000E37EF">
      <w:pPr>
        <w:pStyle w:val="a4"/>
      </w:pPr>
      <w:r>
        <w:rPr>
          <w:rStyle w:val="a5"/>
        </w:rPr>
        <w:footnoteRef/>
      </w:r>
      <w:r>
        <w:t xml:space="preserve"> П.1 Ст. 14 Закона РФ «О валютном регулировании и валютном контроле»</w:t>
      </w:r>
    </w:p>
  </w:footnote>
  <w:footnote w:id="9">
    <w:p w:rsidR="00B97F2E" w:rsidRDefault="000E37EF" w:rsidP="000E37EF">
      <w:pPr>
        <w:pStyle w:val="a4"/>
      </w:pPr>
      <w:r>
        <w:rPr>
          <w:rStyle w:val="a5"/>
        </w:rPr>
        <w:footnoteRef/>
      </w:r>
      <w:r>
        <w:t xml:space="preserve"> П.2 Ст. 13 Того же Закона</w:t>
      </w:r>
    </w:p>
  </w:footnote>
  <w:footnote w:id="10">
    <w:p w:rsidR="00B97F2E" w:rsidRDefault="000E37EF" w:rsidP="000E37EF">
      <w:pPr>
        <w:pStyle w:val="a4"/>
        <w:ind w:right="-104"/>
      </w:pPr>
      <w:r>
        <w:rPr>
          <w:rStyle w:val="a5"/>
        </w:rPr>
        <w:footnoteRef/>
      </w:r>
      <w:r>
        <w:t xml:space="preserve"> Финансовое право. Сборник нормативных актов. Учебное пособие. – М.: «Издательство ПРИОР», 2002. – 350с.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7EF"/>
    <w:rsid w:val="000E37EF"/>
    <w:rsid w:val="0031418A"/>
    <w:rsid w:val="00527F95"/>
    <w:rsid w:val="005A2562"/>
    <w:rsid w:val="00B14AEA"/>
    <w:rsid w:val="00B74B01"/>
    <w:rsid w:val="00B97F2E"/>
    <w:rsid w:val="00E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EB8DFD-34C5-404E-826C-62C6FAF2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E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37EF"/>
    <w:rPr>
      <w:color w:val="0000FF"/>
      <w:u w:val="single"/>
    </w:rPr>
  </w:style>
  <w:style w:type="paragraph" w:styleId="a4">
    <w:name w:val="footnote text"/>
    <w:aliases w:val="Текст сноски Знак Знак,Текст сноски Знак Знак Знак,Текст сноски Знак"/>
    <w:basedOn w:val="a"/>
    <w:link w:val="1"/>
    <w:uiPriority w:val="99"/>
    <w:semiHidden/>
    <w:rsid w:val="000E37EF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0E37EF"/>
    <w:rPr>
      <w:vertAlign w:val="superscript"/>
    </w:rPr>
  </w:style>
  <w:style w:type="character" w:customStyle="1" w:styleId="1">
    <w:name w:val="Текст сноски Знак1"/>
    <w:aliases w:val="Текст сноски Знак Знак Знак1,Текст сноски Знак Знак Знак Знак,Текст сноски Знак Знак1"/>
    <w:basedOn w:val="a0"/>
    <w:link w:val="a4"/>
    <w:uiPriority w:val="99"/>
    <w:locked/>
    <w:rsid w:val="000E37EF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2680</Words>
  <Characters>15281</Characters>
  <Application>Microsoft Office Word</Application>
  <DocSecurity>0</DocSecurity>
  <Lines>127</Lines>
  <Paragraphs>35</Paragraphs>
  <ScaleCrop>false</ScaleCrop>
  <Company>Home</Company>
  <LinksUpToDate>false</LinksUpToDate>
  <CharactersWithSpaces>17926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Валютный контроль</dc:title>
  <dc:subject/>
  <dc:creator>Alena</dc:creator>
  <cp:keywords/>
  <dc:description/>
  <cp:lastModifiedBy>admin</cp:lastModifiedBy>
  <cp:revision>2</cp:revision>
  <dcterms:created xsi:type="dcterms:W3CDTF">2014-02-16T16:59:00Z</dcterms:created>
  <dcterms:modified xsi:type="dcterms:W3CDTF">2014-02-16T16:59:00Z</dcterms:modified>
</cp:coreProperties>
</file>