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55" w:rsidRPr="003221FA" w:rsidRDefault="00DD3A55" w:rsidP="00DD3A55">
      <w:pPr>
        <w:spacing w:before="120"/>
        <w:jc w:val="center"/>
        <w:rPr>
          <w:b/>
          <w:bCs/>
          <w:sz w:val="32"/>
          <w:szCs w:val="32"/>
        </w:rPr>
      </w:pPr>
      <w:r w:rsidRPr="003221FA">
        <w:rPr>
          <w:b/>
          <w:bCs/>
          <w:sz w:val="32"/>
          <w:szCs w:val="32"/>
        </w:rPr>
        <w:t>Ваш человеческий и социальный капитал</w:t>
      </w:r>
    </w:p>
    <w:p w:rsidR="00DD3A55" w:rsidRPr="003221FA" w:rsidRDefault="00DD3A55" w:rsidP="00DD3A55">
      <w:pPr>
        <w:spacing w:before="120"/>
        <w:ind w:firstLine="567"/>
        <w:jc w:val="both"/>
        <w:rPr>
          <w:sz w:val="28"/>
          <w:szCs w:val="28"/>
        </w:rPr>
      </w:pPr>
      <w:r w:rsidRPr="003221FA">
        <w:rPr>
          <w:sz w:val="28"/>
          <w:szCs w:val="28"/>
        </w:rPr>
        <w:t>Сергей Михайлович Климов, доктор экономических наук, профессор, ректор Санкт-Петербургского института внешнеэкономических связей, экономики и права.</w:t>
      </w:r>
    </w:p>
    <w:p w:rsidR="00DD3A55" w:rsidRDefault="00DD3A55" w:rsidP="00DD3A55">
      <w:pPr>
        <w:spacing w:before="120"/>
        <w:ind w:firstLine="567"/>
        <w:jc w:val="both"/>
      </w:pPr>
      <w:r w:rsidRPr="0031404A">
        <w:t>Интеллектуально богатые люди демонстрируют успешные черты личности, обладают хорошей профессиональной подготовкой и тактическими способностями, умеют принимать правильные решения и выполнять их. Каждое из этих свойств можно разложить на составные компоненты.</w:t>
      </w:r>
    </w:p>
    <w:p w:rsidR="00DD3A55" w:rsidRPr="0031404A" w:rsidRDefault="00DD3A55" w:rsidP="00DD3A55">
      <w:pPr>
        <w:spacing w:before="120"/>
        <w:ind w:firstLine="567"/>
        <w:jc w:val="both"/>
      </w:pPr>
      <w:r w:rsidRPr="0031404A">
        <w:t>Человеческий капитал в современной, интеллектуализированной, экономике неоднороден. Что представляют собой компоненты человеческого капитала, дополнительные к интеллектуальным ресурсам личности?</w:t>
      </w:r>
    </w:p>
    <w:p w:rsidR="00DD3A55" w:rsidRPr="0031404A" w:rsidRDefault="00DD3A55" w:rsidP="00DD3A55">
      <w:pPr>
        <w:spacing w:before="120"/>
        <w:ind w:firstLine="567"/>
        <w:jc w:val="both"/>
      </w:pPr>
      <w:r w:rsidRPr="0031404A">
        <w:t>Биофизический капитал — это жизненные ресурсы личности, ее физический и психологический потенциал, рассматриваемые в контексте способности к созданию стоимости. Можно привести немало примеров, когда именно этот вид ресурсов является не только доминирующим, но и весьма дорогостоящим. Так, для профессиональных баскетболистов одним из ключевых компонентов их человеческого капитала является, как правило, рост. Существуют люди, например актеры-карлики, извлекающие доход из аномалии своего физического развития. Велико значение опосредованного влияния биофизических ресурсов как естественного, природного ограничения профессиональных возможностей личности (возраст, пол, состояние здоровья). Поэтому закономерно, что сегодня практически все исследователи рассматривают затраты на здравоохранение как инвестиции в человеческий капитал.</w:t>
      </w:r>
    </w:p>
    <w:p w:rsidR="00DD3A55" w:rsidRPr="0031404A" w:rsidRDefault="00DD3A55" w:rsidP="00DD3A55">
      <w:pPr>
        <w:spacing w:before="120"/>
        <w:ind w:firstLine="567"/>
        <w:jc w:val="both"/>
      </w:pPr>
      <w:r w:rsidRPr="0031404A">
        <w:t>Другим важным компонентом человеческого капитала являются социальные ресурсы личности, то есть заложенный в человеке потенциал социального взаимодействия, его включенность в определенную социальную среду. В течение долгого времени социальные ресурсы личности определялись преимущественно происхождением человека, его принадлежностью к той или иной социальной группе. Любой гражданин Древнего Рима имел право на хлеб и зрелища, которые стали неотъемлемой частью экономики того времени: хлеб нужно было растить, для зрелищ нужны были Колизей, гладиаторы и львы. Иными словами, социальный капитал, являясь принадлежностью человека, не был обусловлен его индивидуальными заслугами, а был связан с экономикой скорее в потребительском, чем в созидательном плане.</w:t>
      </w:r>
    </w:p>
    <w:p w:rsidR="00DD3A55" w:rsidRPr="0031404A" w:rsidRDefault="00DD3A55" w:rsidP="00DD3A55">
      <w:pPr>
        <w:spacing w:before="120"/>
        <w:ind w:firstLine="567"/>
        <w:jc w:val="both"/>
      </w:pPr>
      <w:r w:rsidRPr="0031404A">
        <w:t>Различные виды человеческого капитала и средства их формирования взаимодействуют. Долгое время базой социального капитала было богатство в натуральной или денежной форме. Наряду с этим фактором большую роль в формировании социального капитала играло и играет образование, обеспечивающее социализацию личности. Образование дает не только знания и умения, составляющие основу интеллектуального капитала, но и определенный престиж в обществе, причем тем больший, чем большим социальным капиталом обладает соответствующее образовательное учреждение. Сегодня все более отчетливо прослеживается обратное воздействие, например участие в добровольческой деятельности (волонтерство), спонсорство, благотворительность оказывают влияние на экономические результаты, интеллектуальную или политическую карьеру.</w:t>
      </w:r>
    </w:p>
    <w:p w:rsidR="00DD3A55" w:rsidRPr="0031404A" w:rsidRDefault="00DD3A55" w:rsidP="00DD3A55">
      <w:pPr>
        <w:spacing w:before="120"/>
        <w:ind w:firstLine="567"/>
        <w:jc w:val="both"/>
      </w:pPr>
      <w:r w:rsidRPr="0031404A">
        <w:t>Интеллектуальные ресурсы личности — это сформированные в процессе формального и неформального обучения знания, информация и креативные способности человека. Интеллектуально богатыми являются люди, которые демонстрируют успешные черты личности, обладают хорошей общей и профессиональной подготовкой, хорошими тактическими способностями, умеют принимать правильные решения стоящих перед ними проблем и обеспечивать их выполнение. Каждое из этих свойств может быть разложено на составляющие компоненты.</w:t>
      </w:r>
    </w:p>
    <w:p w:rsidR="00DD3A55" w:rsidRPr="0031404A" w:rsidRDefault="00DD3A55" w:rsidP="00DD3A55">
      <w:pPr>
        <w:spacing w:before="120"/>
        <w:ind w:firstLine="567"/>
        <w:jc w:val="both"/>
      </w:pPr>
      <w:r w:rsidRPr="0031404A">
        <w:t>Эффективность использования человеческого капитала в производстве в значительной степени зависит от факторов общественной среды. Связь между уровнем богатства страны и качествами ее народа была раскрыта в начале XX века Максом Вебером в известной работе «Протестантская этика и дух капитализма».</w:t>
      </w:r>
    </w:p>
    <w:p w:rsidR="00DD3A55" w:rsidRPr="0031404A" w:rsidRDefault="00DD3A55" w:rsidP="00DD3A55">
      <w:pPr>
        <w:spacing w:before="120"/>
        <w:ind w:firstLine="567"/>
        <w:jc w:val="both"/>
      </w:pPr>
      <w:r w:rsidRPr="0031404A">
        <w:t>Интеллектуальные способности личности и их содержание</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06"/>
        <w:gridCol w:w="4755"/>
      </w:tblGrid>
      <w:tr w:rsidR="00DD3A55" w:rsidRPr="0031404A" w:rsidTr="00D42152">
        <w:trPr>
          <w:tblCellSpacing w:w="15" w:type="dxa"/>
        </w:trPr>
        <w:tc>
          <w:tcPr>
            <w:tcW w:w="4964" w:type="pct"/>
            <w:gridSpan w:val="2"/>
            <w:tcBorders>
              <w:top w:val="outset" w:sz="6" w:space="0" w:color="auto"/>
              <w:bottom w:val="outset" w:sz="6" w:space="0" w:color="auto"/>
            </w:tcBorders>
            <w:vAlign w:val="center"/>
          </w:tcPr>
          <w:p w:rsidR="00DD3A55" w:rsidRPr="0031404A" w:rsidRDefault="00DD3A55" w:rsidP="00D42152">
            <w:pPr>
              <w:jc w:val="both"/>
            </w:pPr>
            <w:r w:rsidRPr="0031404A">
              <w:t>Черты успешной личности</w:t>
            </w:r>
          </w:p>
        </w:tc>
      </w:tr>
      <w:tr w:rsidR="00DD3A55" w:rsidRPr="0031404A" w:rsidTr="00D42152">
        <w:trPr>
          <w:tblCellSpacing w:w="15" w:type="dxa"/>
        </w:trPr>
        <w:tc>
          <w:tcPr>
            <w:tcW w:w="2547" w:type="pct"/>
            <w:tcBorders>
              <w:top w:val="outset" w:sz="6" w:space="0" w:color="auto"/>
              <w:bottom w:val="outset" w:sz="6" w:space="0" w:color="auto"/>
              <w:right w:val="outset" w:sz="6" w:space="0" w:color="auto"/>
            </w:tcBorders>
            <w:vAlign w:val="center"/>
          </w:tcPr>
          <w:p w:rsidR="00DD3A55" w:rsidRDefault="00DD3A55" w:rsidP="00D42152">
            <w:pPr>
              <w:jc w:val="both"/>
            </w:pPr>
            <w:r w:rsidRPr="0031404A">
              <w:t>Инициативность</w:t>
            </w:r>
          </w:p>
          <w:p w:rsidR="00DD3A55" w:rsidRDefault="00DD3A55" w:rsidP="00D42152">
            <w:pPr>
              <w:jc w:val="both"/>
            </w:pPr>
            <w:r w:rsidRPr="0031404A">
              <w:t>Способность принятия ответственности</w:t>
            </w:r>
          </w:p>
          <w:p w:rsidR="00DD3A55" w:rsidRDefault="00DD3A55" w:rsidP="00D42152">
            <w:pPr>
              <w:jc w:val="both"/>
            </w:pPr>
            <w:r w:rsidRPr="0031404A">
              <w:t>Способность делегирования полномочий</w:t>
            </w:r>
          </w:p>
          <w:p w:rsidR="00DD3A55" w:rsidRDefault="00DD3A55" w:rsidP="00D42152">
            <w:pPr>
              <w:jc w:val="both"/>
            </w:pPr>
            <w:r w:rsidRPr="0031404A">
              <w:t>Действия в соответствии с ситуацией</w:t>
            </w:r>
          </w:p>
          <w:p w:rsidR="00DD3A55" w:rsidRPr="0031404A" w:rsidRDefault="00DD3A55" w:rsidP="00D42152">
            <w:pPr>
              <w:jc w:val="both"/>
            </w:pPr>
            <w:r w:rsidRPr="0031404A">
              <w:t>Гибкость и отзывчивость</w:t>
            </w:r>
          </w:p>
        </w:tc>
        <w:tc>
          <w:tcPr>
            <w:tcW w:w="2399" w:type="pct"/>
            <w:tcBorders>
              <w:top w:val="outset" w:sz="6" w:space="0" w:color="auto"/>
              <w:left w:val="outset" w:sz="6" w:space="0" w:color="auto"/>
              <w:bottom w:val="outset" w:sz="6" w:space="0" w:color="auto"/>
            </w:tcBorders>
            <w:vAlign w:val="center"/>
          </w:tcPr>
          <w:p w:rsidR="00DD3A55" w:rsidRDefault="00DD3A55" w:rsidP="00D42152">
            <w:pPr>
              <w:jc w:val="both"/>
            </w:pPr>
            <w:r w:rsidRPr="0031404A">
              <w:t>Постоянны</w:t>
            </w:r>
          </w:p>
          <w:p w:rsidR="00DD3A55" w:rsidRDefault="00DD3A55" w:rsidP="00D42152">
            <w:pPr>
              <w:jc w:val="both"/>
            </w:pPr>
            <w:r w:rsidRPr="0031404A">
              <w:t>Хорошие слушатели</w:t>
            </w:r>
          </w:p>
          <w:p w:rsidR="00DD3A55" w:rsidRDefault="00DD3A55" w:rsidP="00D42152">
            <w:pPr>
              <w:jc w:val="both"/>
            </w:pPr>
            <w:r w:rsidRPr="0031404A">
              <w:t>Независимы</w:t>
            </w:r>
          </w:p>
          <w:p w:rsidR="00DD3A55" w:rsidRDefault="00DD3A55" w:rsidP="00D42152">
            <w:pPr>
              <w:jc w:val="both"/>
            </w:pPr>
            <w:r w:rsidRPr="0031404A">
              <w:t>Склонны к идеализму</w:t>
            </w:r>
          </w:p>
          <w:p w:rsidR="00DD3A55" w:rsidRDefault="00DD3A55" w:rsidP="00D42152">
            <w:pPr>
              <w:jc w:val="both"/>
            </w:pPr>
            <w:r w:rsidRPr="0031404A">
              <w:t>Принципиальны</w:t>
            </w:r>
          </w:p>
          <w:p w:rsidR="00DD3A55" w:rsidRPr="0031404A" w:rsidRDefault="00DD3A55" w:rsidP="00D42152">
            <w:pPr>
              <w:jc w:val="both"/>
            </w:pPr>
            <w:r w:rsidRPr="0031404A">
              <w:t>Способны к самокоррекции</w:t>
            </w:r>
          </w:p>
        </w:tc>
      </w:tr>
      <w:tr w:rsidR="00DD3A55" w:rsidRPr="0031404A" w:rsidTr="00D42152">
        <w:trPr>
          <w:tblCellSpacing w:w="15" w:type="dxa"/>
        </w:trPr>
        <w:tc>
          <w:tcPr>
            <w:tcW w:w="2547"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Общая и профессиональная подготовка</w:t>
            </w:r>
          </w:p>
        </w:tc>
        <w:tc>
          <w:tcPr>
            <w:tcW w:w="2399"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Тактические способности</w:t>
            </w:r>
          </w:p>
        </w:tc>
      </w:tr>
      <w:tr w:rsidR="00DD3A55" w:rsidRPr="0031404A" w:rsidTr="00D42152">
        <w:trPr>
          <w:tblCellSpacing w:w="15" w:type="dxa"/>
        </w:trPr>
        <w:tc>
          <w:tcPr>
            <w:tcW w:w="2547" w:type="pct"/>
            <w:tcBorders>
              <w:top w:val="outset" w:sz="6" w:space="0" w:color="auto"/>
              <w:bottom w:val="outset" w:sz="6" w:space="0" w:color="auto"/>
              <w:right w:val="outset" w:sz="6" w:space="0" w:color="auto"/>
            </w:tcBorders>
            <w:vAlign w:val="center"/>
          </w:tcPr>
          <w:p w:rsidR="00DD3A55" w:rsidRDefault="00DD3A55" w:rsidP="00D42152">
            <w:pPr>
              <w:jc w:val="both"/>
            </w:pPr>
            <w:r w:rsidRPr="0031404A">
              <w:t>Приобретение знания из всех источников и организация его в интегрированное конгруэнтное целое</w:t>
            </w:r>
          </w:p>
          <w:p w:rsidR="00DD3A55" w:rsidRDefault="00DD3A55" w:rsidP="00D42152">
            <w:pPr>
              <w:jc w:val="both"/>
            </w:pPr>
            <w:r w:rsidRPr="0031404A">
              <w:t>Разносторонность</w:t>
            </w:r>
          </w:p>
          <w:p w:rsidR="00DD3A55" w:rsidRDefault="00DD3A55" w:rsidP="00D42152">
            <w:pPr>
              <w:jc w:val="both"/>
            </w:pPr>
            <w:r w:rsidRPr="0031404A">
              <w:t>Информированность</w:t>
            </w:r>
          </w:p>
          <w:p w:rsidR="00DD3A55" w:rsidRDefault="00DD3A55" w:rsidP="00D42152">
            <w:pPr>
              <w:jc w:val="both"/>
            </w:pPr>
            <w:r w:rsidRPr="0031404A">
              <w:t>Планирование своей деятельности на основе объединения разнородной информации</w:t>
            </w:r>
          </w:p>
          <w:p w:rsidR="00DD3A55" w:rsidRPr="0031404A" w:rsidRDefault="00DD3A55" w:rsidP="00D42152">
            <w:pPr>
              <w:jc w:val="both"/>
            </w:pPr>
            <w:r w:rsidRPr="0031404A">
              <w:t>Понимание окружающего мира</w:t>
            </w:r>
          </w:p>
        </w:tc>
        <w:tc>
          <w:tcPr>
            <w:tcW w:w="2399" w:type="pct"/>
            <w:tcBorders>
              <w:top w:val="outset" w:sz="6" w:space="0" w:color="auto"/>
              <w:left w:val="outset" w:sz="6" w:space="0" w:color="auto"/>
              <w:bottom w:val="outset" w:sz="6" w:space="0" w:color="auto"/>
            </w:tcBorders>
            <w:vAlign w:val="center"/>
          </w:tcPr>
          <w:p w:rsidR="00DD3A55" w:rsidRDefault="00DD3A55" w:rsidP="00D42152">
            <w:pPr>
              <w:jc w:val="both"/>
            </w:pPr>
            <w:r w:rsidRPr="0031404A">
              <w:t>Предвосхищение будущего развития и соответственно планирование деятельности</w:t>
            </w:r>
          </w:p>
          <w:p w:rsidR="00DD3A55" w:rsidRDefault="00DD3A55" w:rsidP="00D42152">
            <w:pPr>
              <w:jc w:val="both"/>
            </w:pPr>
            <w:r w:rsidRPr="0031404A">
              <w:t>Вкладывание усилий пропорционально важности ситуации</w:t>
            </w:r>
          </w:p>
          <w:p w:rsidR="00DD3A55" w:rsidRDefault="00DD3A55" w:rsidP="00D42152">
            <w:pPr>
              <w:jc w:val="both"/>
            </w:pPr>
            <w:r w:rsidRPr="0031404A">
              <w:t>Координация своих действий со всеми релевантными сторонами и обеспечение, когда требуется, согласия</w:t>
            </w:r>
          </w:p>
          <w:p w:rsidR="00DD3A55" w:rsidRPr="0031404A" w:rsidRDefault="00DD3A55" w:rsidP="00D42152">
            <w:pPr>
              <w:jc w:val="both"/>
            </w:pPr>
            <w:r w:rsidRPr="0031404A">
              <w:t>Выбор уместных действий</w:t>
            </w:r>
          </w:p>
        </w:tc>
      </w:tr>
      <w:tr w:rsidR="00DD3A55" w:rsidRPr="0031404A" w:rsidTr="00D42152">
        <w:trPr>
          <w:tblCellSpacing w:w="15" w:type="dxa"/>
        </w:trPr>
        <w:tc>
          <w:tcPr>
            <w:tcW w:w="2547"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Обеспечение наилучшего варианта решения проблем</w:t>
            </w:r>
          </w:p>
        </w:tc>
        <w:tc>
          <w:tcPr>
            <w:tcW w:w="2399"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Обеспечение выполнения принимаемых решений</w:t>
            </w:r>
          </w:p>
        </w:tc>
      </w:tr>
      <w:tr w:rsidR="00DD3A55" w:rsidRPr="0031404A" w:rsidTr="00D42152">
        <w:trPr>
          <w:tblCellSpacing w:w="15" w:type="dxa"/>
        </w:trPr>
        <w:tc>
          <w:tcPr>
            <w:tcW w:w="2547" w:type="pct"/>
            <w:tcBorders>
              <w:top w:val="outset" w:sz="6" w:space="0" w:color="auto"/>
              <w:bottom w:val="outset" w:sz="6" w:space="0" w:color="auto"/>
              <w:right w:val="outset" w:sz="6" w:space="0" w:color="auto"/>
            </w:tcBorders>
            <w:vAlign w:val="center"/>
          </w:tcPr>
          <w:p w:rsidR="00DD3A55" w:rsidRDefault="00DD3A55" w:rsidP="00D42152">
            <w:pPr>
              <w:jc w:val="both"/>
            </w:pPr>
            <w:r w:rsidRPr="0031404A">
              <w:t>Использование всех релевантных знаний</w:t>
            </w:r>
          </w:p>
          <w:p w:rsidR="00DD3A55" w:rsidRDefault="00DD3A55" w:rsidP="00D42152">
            <w:pPr>
              <w:jc w:val="both"/>
            </w:pPr>
            <w:r w:rsidRPr="0031404A">
              <w:t>Рассмотрение всей доступной информации, но использование только той, которая является уместной</w:t>
            </w:r>
          </w:p>
          <w:p w:rsidR="00DD3A55" w:rsidRDefault="00DD3A55" w:rsidP="00D42152">
            <w:pPr>
              <w:jc w:val="both"/>
            </w:pPr>
            <w:r w:rsidRPr="0031404A">
              <w:t>Реконструкция проблемы и анализ различных перспектив</w:t>
            </w:r>
          </w:p>
          <w:p w:rsidR="00DD3A55" w:rsidRDefault="00DD3A55" w:rsidP="00D42152">
            <w:pPr>
              <w:jc w:val="both"/>
            </w:pPr>
            <w:r w:rsidRPr="0031404A">
              <w:t>Способность к воображению, новаторству, творчеству</w:t>
            </w:r>
          </w:p>
          <w:p w:rsidR="00DD3A55" w:rsidRDefault="00DD3A55" w:rsidP="00D42152">
            <w:pPr>
              <w:jc w:val="both"/>
            </w:pPr>
            <w:r w:rsidRPr="0031404A">
              <w:t>Анализ ситуации с учетом не только очевидных, но и скрытых характеристик</w:t>
            </w:r>
          </w:p>
          <w:p w:rsidR="00DD3A55" w:rsidRDefault="00DD3A55" w:rsidP="00D42152">
            <w:pPr>
              <w:jc w:val="both"/>
            </w:pPr>
            <w:r w:rsidRPr="0031404A">
              <w:t>Выделение и определение важнейших факторов процесса</w:t>
            </w:r>
          </w:p>
          <w:p w:rsidR="00DD3A55" w:rsidRPr="0031404A" w:rsidRDefault="00DD3A55" w:rsidP="00D42152">
            <w:pPr>
              <w:jc w:val="both"/>
            </w:pPr>
            <w:r w:rsidRPr="0031404A">
              <w:t>Рациональность рассуждений, минимум ошибок</w:t>
            </w:r>
          </w:p>
        </w:tc>
        <w:tc>
          <w:tcPr>
            <w:tcW w:w="2399" w:type="pct"/>
            <w:tcBorders>
              <w:top w:val="outset" w:sz="6" w:space="0" w:color="auto"/>
              <w:left w:val="outset" w:sz="6" w:space="0" w:color="auto"/>
              <w:bottom w:val="outset" w:sz="6" w:space="0" w:color="auto"/>
            </w:tcBorders>
            <w:vAlign w:val="center"/>
          </w:tcPr>
          <w:p w:rsidR="00DD3A55" w:rsidRDefault="00DD3A55" w:rsidP="00D42152">
            <w:pPr>
              <w:jc w:val="both"/>
            </w:pPr>
            <w:r w:rsidRPr="0031404A">
              <w:t>Принятие вызова и готовность к риску</w:t>
            </w:r>
          </w:p>
          <w:p w:rsidR="00DD3A55" w:rsidRDefault="00DD3A55" w:rsidP="00D42152">
            <w:pPr>
              <w:jc w:val="both"/>
            </w:pPr>
            <w:r w:rsidRPr="0031404A">
              <w:t>Идентификация цели при наступлении ситуации</w:t>
            </w:r>
          </w:p>
          <w:p w:rsidR="00DD3A55" w:rsidRDefault="00DD3A55" w:rsidP="00D42152">
            <w:pPr>
              <w:jc w:val="both"/>
            </w:pPr>
            <w:r w:rsidRPr="0031404A">
              <w:t>Анализ всех уместных альтернатив</w:t>
            </w:r>
          </w:p>
          <w:p w:rsidR="00DD3A55" w:rsidRDefault="00DD3A55" w:rsidP="00D42152">
            <w:pPr>
              <w:jc w:val="both"/>
            </w:pPr>
            <w:r w:rsidRPr="0031404A">
              <w:t>Предвидение последствий</w:t>
            </w:r>
          </w:p>
          <w:p w:rsidR="00DD3A55" w:rsidRDefault="00DD3A55" w:rsidP="00D42152">
            <w:pPr>
              <w:jc w:val="both"/>
            </w:pPr>
            <w:r w:rsidRPr="0031404A">
              <w:t>Установление приоритетов</w:t>
            </w:r>
          </w:p>
          <w:p w:rsidR="00DD3A55" w:rsidRDefault="00DD3A55" w:rsidP="00D42152">
            <w:pPr>
              <w:jc w:val="both"/>
            </w:pPr>
            <w:r w:rsidRPr="0031404A">
              <w:t>Учет степени реальности лучших альтернатив</w:t>
            </w:r>
          </w:p>
          <w:p w:rsidR="00DD3A55" w:rsidRDefault="00DD3A55" w:rsidP="00D42152">
            <w:pPr>
              <w:jc w:val="both"/>
            </w:pPr>
            <w:r w:rsidRPr="0031404A">
              <w:t>Выбор лучшей альтернативы, с учетом всех ограничений, условий и неопределенности</w:t>
            </w:r>
          </w:p>
          <w:p w:rsidR="00DD3A55" w:rsidRDefault="00DD3A55" w:rsidP="00D42152">
            <w:pPr>
              <w:jc w:val="both"/>
            </w:pPr>
            <w:r w:rsidRPr="0031404A">
              <w:t>Убедительность в обосновании решения</w:t>
            </w:r>
          </w:p>
          <w:p w:rsidR="00DD3A55" w:rsidRPr="0031404A" w:rsidRDefault="00DD3A55" w:rsidP="00D42152">
            <w:pPr>
              <w:jc w:val="both"/>
            </w:pPr>
            <w:r w:rsidRPr="0031404A">
              <w:t>Успешное осуществление решения</w:t>
            </w:r>
          </w:p>
        </w:tc>
      </w:tr>
    </w:tbl>
    <w:p w:rsidR="00DD3A55" w:rsidRPr="0031404A" w:rsidRDefault="00DD3A55" w:rsidP="00DD3A55">
      <w:pPr>
        <w:spacing w:before="120"/>
        <w:ind w:firstLine="567"/>
        <w:jc w:val="both"/>
      </w:pPr>
      <w:r w:rsidRPr="0031404A">
        <w:t>На основе этого исследования возникла концепция продуктивной и контрпродуктивной культуры и соответствующей структуры личности. Принадлежность к данной культурной среде в значительной степени определяет эффективность человеческого капитала. В следующей таблице приведены основные черты продуктивной и контрпродуктивной структуры личности, следующие из индивидуальной оценки основных параметров человеческого существования и доминирующего психологического настроя.</w:t>
      </w:r>
    </w:p>
    <w:p w:rsidR="00DD3A55" w:rsidRPr="0031404A" w:rsidRDefault="00DD3A55" w:rsidP="00DD3A55">
      <w:pPr>
        <w:spacing w:before="120"/>
        <w:ind w:firstLine="567"/>
        <w:jc w:val="both"/>
      </w:pPr>
      <w:r w:rsidRPr="0031404A">
        <w:t>Продуктивная и контрпродуктивная структура личности</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71"/>
        <w:gridCol w:w="3584"/>
        <w:gridCol w:w="3306"/>
      </w:tblGrid>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Оцениваемые параметры</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Продуктивная структура</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Контрпродуктивная структура</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Религия</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Дает объяснение и обоснование успеха</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Смягчает или объясняет страдания</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Богатство</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Результат личных усилий и инициативы</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Вызывает зависть, настрой на борьбу за приобретение или перераспределение этого ресурса</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Конкуренция</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Положительная сила, развивающая стремление к совершенствованию и обогащению общества</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Форма агрессии, угрожающая стабильности и солидарности общества</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Экономическая целесообразность</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Бережливость и инвестирование для блага будущих поколений</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Уравнительное распределение</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Труд</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Нравственный общественный долг и главная форма самовыражения</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Тяжкое бремя и неизбежное зло</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Инакомыслие</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Важное условие поиска истины</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Преступление</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Образование</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Воспитывает любознательность и творчество</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Культивирует ортодоксальность</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Прагматизм, рациональность</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Структурообразующие понятия индивидуального сознания</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Угроза стабильности, солидарности и преемственности</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Фокус времени</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Настоящее и будущее, которым можно управлять</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Прошлое, фатализм в видении будущего</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Окружающая среда, мир</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Оптимистическое восприятие мира как арены для действий и достижений</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Арена действия непреодолимых сил, страх, враждебность и пессимизм в восприятии мира</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Жизнь</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Активное восприятие жизни и своей роли в ней</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Пассивное восприятие жизни как результата складывающихся обстоятельств</w:t>
            </w:r>
          </w:p>
        </w:tc>
      </w:tr>
      <w:tr w:rsidR="00DD3A55" w:rsidRPr="0031404A" w:rsidTr="00D42152">
        <w:trPr>
          <w:tblCellSpacing w:w="15" w:type="dxa"/>
        </w:trPr>
        <w:tc>
          <w:tcPr>
            <w:tcW w:w="1445"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Господствующее настроение</w:t>
            </w:r>
          </w:p>
        </w:tc>
        <w:tc>
          <w:tcPr>
            <w:tcW w:w="1816"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Оптимизм</w:t>
            </w:r>
          </w:p>
        </w:tc>
        <w:tc>
          <w:tcPr>
            <w:tcW w:w="1666"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Пессимизм</w:t>
            </w:r>
          </w:p>
        </w:tc>
      </w:tr>
    </w:tbl>
    <w:p w:rsidR="00DD3A55" w:rsidRPr="0031404A" w:rsidRDefault="00DD3A55" w:rsidP="00DD3A55">
      <w:pPr>
        <w:spacing w:before="120"/>
        <w:ind w:firstLine="567"/>
        <w:jc w:val="both"/>
      </w:pPr>
      <w:r w:rsidRPr="0031404A">
        <w:t>Формирование продуктивного или контрпродуктивного типа личности не является фатальной неизбежностью, связанной с принадлежностью к той или иной национальной культуре. Это процесс, поддающийся корректировке на уровне как индивидуального, так и общественного сознания и непосредственным образом влияющий на продуктивность человеческого капитала.</w:t>
      </w:r>
    </w:p>
    <w:p w:rsidR="00DD3A55" w:rsidRPr="0031404A" w:rsidRDefault="00DD3A55" w:rsidP="00DD3A55">
      <w:pPr>
        <w:spacing w:before="120"/>
        <w:ind w:firstLine="567"/>
        <w:jc w:val="both"/>
      </w:pPr>
      <w:r w:rsidRPr="0031404A">
        <w:t>Характеризуя свойства интеллектуальных ресурсов личности, отметим сначала те, которые свойственны человеческому капиталу вообще:</w:t>
      </w:r>
    </w:p>
    <w:p w:rsidR="00DD3A55" w:rsidRPr="0031404A" w:rsidRDefault="00DD3A55" w:rsidP="00DD3A55">
      <w:pPr>
        <w:spacing w:before="120"/>
        <w:ind w:firstLine="567"/>
        <w:jc w:val="both"/>
      </w:pPr>
      <w:r w:rsidRPr="0031404A">
        <w:t>1. Человеческий капитал неотчуждаем и, соответственно, неликвиден. Если человек располагает неиспользуемыми материальными ресурсами, он может сдать их в аренду, взять ссуду под залог этих материальных ценностей, в конце концов — законсервировать до лучших времен, что невозможно по отношению к интеллектуальным способностям и знаниям.</w:t>
      </w:r>
    </w:p>
    <w:p w:rsidR="00DD3A55" w:rsidRPr="0031404A" w:rsidRDefault="00DD3A55" w:rsidP="00DD3A55">
      <w:pPr>
        <w:spacing w:before="120"/>
        <w:ind w:firstLine="567"/>
        <w:jc w:val="both"/>
      </w:pPr>
      <w:r w:rsidRPr="0031404A">
        <w:t>2. Человеческий капитал нехраним (по выражению Маршалла). Он существует только в текущее время, и время, в течение которого он не использовался, упущено навсегда. Для человека, не работающего по специальности, стоимость образования относится соответствующей долей на неявные издержки его нынешней деятельности.</w:t>
      </w:r>
    </w:p>
    <w:p w:rsidR="00DD3A55" w:rsidRPr="0031404A" w:rsidRDefault="00DD3A55" w:rsidP="00DD3A55">
      <w:pPr>
        <w:spacing w:before="120"/>
        <w:ind w:firstLine="567"/>
        <w:jc w:val="both"/>
      </w:pPr>
      <w:r w:rsidRPr="0031404A">
        <w:t>3. Интеллектуальные ресурсы являются ресурсами двойного назначения. Они используются не только в производственной (экономической) деятельности, но и в повседневном обиходе, в жизни, идущей за границами рабочего времени. Поэтому инвестиции в формирование интеллектуальных ресурсов, как и человеческого капитала вообще, не отделимы от расходов на потребление.</w:t>
      </w:r>
    </w:p>
    <w:p w:rsidR="00DD3A55" w:rsidRPr="0031404A" w:rsidRDefault="00DD3A55" w:rsidP="00DD3A55">
      <w:pPr>
        <w:spacing w:before="120"/>
        <w:ind w:firstLine="567"/>
        <w:jc w:val="both"/>
      </w:pPr>
      <w:r w:rsidRPr="0031404A">
        <w:t>4. Так же как и другие виды человеческого капитала, интеллектуальные ресурсы личности двойственны с точки зрения их рыночной стоимости. Лейф Эдвинссон вводит, в частности, понятия «базовая стоимость человеческого капитала» и «потенциальная стоимость человеческого капитала». Базовая стоимость человеческого капитала рассматривается как дисконтированная рыночная стоимость будущего дохода, на которую ориентируется индивид, определяя целесообразность инвестиций в образование. Потенциальная стоимость человеческого капитала — это та стоимость, на которую ориентируется предприниматель, нанимающий индивида, то есть арендующий его человеческий, в частности интеллектуальный, капитал. При формировании цены рабочей силы на рынке труда она зависит от доходности ресурса труда и издержек предпринимателя на его оплату.</w:t>
      </w:r>
    </w:p>
    <w:p w:rsidR="00DD3A55" w:rsidRPr="0031404A" w:rsidRDefault="00DD3A55" w:rsidP="00DD3A55">
      <w:pPr>
        <w:spacing w:before="120"/>
        <w:ind w:firstLine="567"/>
        <w:jc w:val="both"/>
      </w:pPr>
      <w:r w:rsidRPr="0031404A">
        <w:t>5. В процессе формирования интеллектуальных ресурсов задействованы врожденные и сформированные в процессе воспитания способности личности. Ранее уже говорилось о наследовании социального капитала. Очевидно также, что в известной мере наследуется и биофизический капитал. Определенные врожденные психологические предпосылки имеет и интеллектуальный капитал. Наряду с этими общими свойствами, характерными для человеческого капитала, интеллектуальный капитал обладает рядом специфических особенностей. Такими специфическими для интеллектуального капитала чертами являются: 1) старение знаний, 2) соотношение явного и неявного знания в структуре интеллектуальных ресурсов личности.</w:t>
      </w:r>
    </w:p>
    <w:p w:rsidR="00DD3A55" w:rsidRPr="0031404A" w:rsidRDefault="00DD3A55" w:rsidP="00DD3A55">
      <w:pPr>
        <w:spacing w:before="120"/>
        <w:ind w:firstLine="567"/>
        <w:jc w:val="both"/>
      </w:pPr>
      <w:r w:rsidRPr="0031404A">
        <w:t>Под процессом старения знаний понимается не утрата знания, связанная с биофизическим старением работника, а явление, аналогичное моральному износу оборудования, в основе которого лежит старение объективированного в этом оборудовании знания.</w:t>
      </w:r>
    </w:p>
    <w:p w:rsidR="00DD3A55" w:rsidRPr="0031404A" w:rsidRDefault="00DD3A55" w:rsidP="00DD3A55">
      <w:pPr>
        <w:spacing w:before="120"/>
        <w:ind w:firstLine="567"/>
        <w:jc w:val="both"/>
      </w:pPr>
      <w:r w:rsidRPr="0031404A">
        <w:t>Альберт Шапиро выдвинул гипотезу о полураспаде знаний (дословно — о «половине жизни знания»), получившую широкий отклик среди специалистов по управлению человеческими ресурсами. Это определение заимствовано из физики, где существует понятие периода полураспада радиоактивности. Имеется в виду, что интенсивность излучения радиоактивного вещества постепенно сокращается, но никогда не исчезает окончательно. Поэтому определяется период, за который излучение сокращается наполовину.</w:t>
      </w:r>
    </w:p>
    <w:p w:rsidR="00DD3A55" w:rsidRPr="0031404A" w:rsidRDefault="00DD3A55" w:rsidP="00DD3A55">
      <w:pPr>
        <w:spacing w:before="120"/>
        <w:ind w:firstLine="567"/>
        <w:jc w:val="both"/>
      </w:pPr>
      <w:r w:rsidRPr="0031404A">
        <w:t>Применительно к знанию данная аналогия справедлива. Человек никогда ничего не забывает окончательно, и при определенном стечении обстоятельств из его памяти выплывает нечто, казалось бы, давно, забытое. Период полураспада знаний определяется как время после завершения обучения, в течение которого профессионалы теряют половину первоначальной компетентности. Сегодня считается, что период полураспада знаний в сфере науки и проектирования составляет около 5 лет.</w:t>
      </w:r>
    </w:p>
    <w:p w:rsidR="00DD3A55" w:rsidRPr="0031404A" w:rsidRDefault="00DD3A55" w:rsidP="00DD3A55">
      <w:pPr>
        <w:spacing w:before="120"/>
        <w:ind w:firstLine="567"/>
        <w:jc w:val="both"/>
      </w:pPr>
      <w:r w:rsidRPr="0031404A">
        <w:t>Кроме естественного вытеснения из активной памяти индивидуума части неиспользуемых знаний процесс их износа имеет еще одну сторону. Это моральное устаревание целого ряда сведений и положений под напором новейших достижений науки и техники.</w:t>
      </w:r>
    </w:p>
    <w:p w:rsidR="00DD3A55" w:rsidRPr="0031404A" w:rsidRDefault="00DD3A55" w:rsidP="00DD3A55">
      <w:pPr>
        <w:spacing w:before="120"/>
        <w:ind w:firstLine="567"/>
        <w:jc w:val="both"/>
      </w:pPr>
      <w:r w:rsidRPr="0031404A">
        <w:t>П. Книхт говорит о знаниях с длинным периодом полураспада и о знаниях с коротким периодом полураспада как границах той шкалы, на которой располагается то или иное знание.</w:t>
      </w:r>
    </w:p>
    <w:p w:rsidR="00DD3A55" w:rsidRPr="0031404A" w:rsidRDefault="00DD3A55" w:rsidP="00DD3A55">
      <w:pPr>
        <w:spacing w:before="120"/>
        <w:ind w:firstLine="567"/>
        <w:jc w:val="both"/>
      </w:pPr>
      <w:r w:rsidRPr="0031404A">
        <w:t>Знания с коротким периодом полураспада соответствуют условиям деятельности частного сектора и, в частности, в области финансов. Знания с длинным периодом полураспада фундаментальны и более устойчивы к действию факторов морального старения, являются базой для приобретения многих видов знания с коротким периодом полураспада. Более длительным периодом жизни обладают знания, адаптированные к условиям общественного сектора экономики и государственного управления.</w:t>
      </w:r>
    </w:p>
    <w:p w:rsidR="00DD3A55" w:rsidRPr="0031404A" w:rsidRDefault="00DD3A55" w:rsidP="00DD3A55">
      <w:pPr>
        <w:spacing w:before="120"/>
        <w:ind w:firstLine="567"/>
        <w:jc w:val="both"/>
      </w:pPr>
      <w:r w:rsidRPr="0031404A">
        <w:t>Особенности каждого из двух типов знаний показаны в следующей таблице.</w:t>
      </w:r>
    </w:p>
    <w:p w:rsidR="00DD3A55" w:rsidRPr="0031404A" w:rsidRDefault="00DD3A55" w:rsidP="00DD3A55">
      <w:pPr>
        <w:spacing w:before="120"/>
        <w:ind w:firstLine="567"/>
        <w:jc w:val="both"/>
      </w:pPr>
      <w:r w:rsidRPr="0031404A">
        <w:t>.Знания с длинным и коротким периодами полураспада</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67"/>
        <w:gridCol w:w="3588"/>
        <w:gridCol w:w="3406"/>
      </w:tblGrid>
      <w:tr w:rsidR="00DD3A55" w:rsidRPr="0031404A" w:rsidTr="00D42152">
        <w:trPr>
          <w:tblCellSpacing w:w="15" w:type="dxa"/>
        </w:trPr>
        <w:tc>
          <w:tcPr>
            <w:tcW w:w="1391" w:type="pct"/>
            <w:tcBorders>
              <w:top w:val="outset" w:sz="6" w:space="0" w:color="auto"/>
              <w:bottom w:val="outset" w:sz="6" w:space="0" w:color="auto"/>
              <w:right w:val="outset" w:sz="6" w:space="0" w:color="auto"/>
            </w:tcBorders>
            <w:vAlign w:val="center"/>
          </w:tcPr>
          <w:p w:rsidR="00DD3A55" w:rsidRPr="0031404A" w:rsidRDefault="00DD3A55" w:rsidP="00D42152">
            <w:pPr>
              <w:jc w:val="both"/>
            </w:pPr>
          </w:p>
        </w:tc>
        <w:tc>
          <w:tcPr>
            <w:tcW w:w="1818"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Знания с длинным периодом полураспада</w:t>
            </w:r>
          </w:p>
        </w:tc>
        <w:tc>
          <w:tcPr>
            <w:tcW w:w="1718"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Знания с коротким периодом полураспада</w:t>
            </w:r>
          </w:p>
        </w:tc>
      </w:tr>
      <w:tr w:rsidR="00DD3A55" w:rsidRPr="0031404A" w:rsidTr="00D42152">
        <w:trPr>
          <w:tblCellSpacing w:w="15" w:type="dxa"/>
        </w:trPr>
        <w:tc>
          <w:tcPr>
            <w:tcW w:w="1391"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Типы знания</w:t>
            </w:r>
          </w:p>
        </w:tc>
        <w:tc>
          <w:tcPr>
            <w:tcW w:w="1818"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Академическое, базовое, теоретическое</w:t>
            </w:r>
          </w:p>
        </w:tc>
        <w:tc>
          <w:tcPr>
            <w:tcW w:w="1718"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Профессиональное, практическое</w:t>
            </w:r>
          </w:p>
        </w:tc>
      </w:tr>
      <w:tr w:rsidR="00DD3A55" w:rsidRPr="0031404A" w:rsidTr="00D42152">
        <w:trPr>
          <w:tblCellSpacing w:w="15" w:type="dxa"/>
        </w:trPr>
        <w:tc>
          <w:tcPr>
            <w:tcW w:w="1391"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Время формирования</w:t>
            </w:r>
          </w:p>
        </w:tc>
        <w:tc>
          <w:tcPr>
            <w:tcW w:w="1818"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Долгое — годы, месяцы</w:t>
            </w:r>
          </w:p>
        </w:tc>
        <w:tc>
          <w:tcPr>
            <w:tcW w:w="1718"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Короткое — дни, недели, месяцы</w:t>
            </w:r>
          </w:p>
        </w:tc>
      </w:tr>
      <w:tr w:rsidR="00DD3A55" w:rsidRPr="0031404A" w:rsidTr="00D42152">
        <w:trPr>
          <w:tblCellSpacing w:w="15" w:type="dxa"/>
        </w:trPr>
        <w:tc>
          <w:tcPr>
            <w:tcW w:w="1391"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Экономический возврат:</w:t>
            </w:r>
          </w:p>
        </w:tc>
        <w:tc>
          <w:tcPr>
            <w:tcW w:w="1818"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Длительный (через продолжительное время)</w:t>
            </w:r>
          </w:p>
        </w:tc>
        <w:tc>
          <w:tcPr>
            <w:tcW w:w="1718"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Быстрый</w:t>
            </w:r>
          </w:p>
        </w:tc>
      </w:tr>
      <w:tr w:rsidR="00DD3A55" w:rsidRPr="0031404A" w:rsidTr="00D42152">
        <w:trPr>
          <w:tblCellSpacing w:w="15" w:type="dxa"/>
        </w:trPr>
        <w:tc>
          <w:tcPr>
            <w:tcW w:w="1391"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Социальные эффекты</w:t>
            </w:r>
          </w:p>
        </w:tc>
        <w:tc>
          <w:tcPr>
            <w:tcW w:w="1818"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Высокие</w:t>
            </w:r>
          </w:p>
        </w:tc>
        <w:tc>
          <w:tcPr>
            <w:tcW w:w="1718"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Низкие</w:t>
            </w:r>
          </w:p>
        </w:tc>
      </w:tr>
      <w:tr w:rsidR="00DD3A55" w:rsidRPr="0031404A" w:rsidTr="00D42152">
        <w:trPr>
          <w:tblCellSpacing w:w="15" w:type="dxa"/>
        </w:trPr>
        <w:tc>
          <w:tcPr>
            <w:tcW w:w="1391"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Источники финансирования</w:t>
            </w:r>
          </w:p>
        </w:tc>
        <w:tc>
          <w:tcPr>
            <w:tcW w:w="1818"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Семья, государство</w:t>
            </w:r>
          </w:p>
        </w:tc>
        <w:tc>
          <w:tcPr>
            <w:tcW w:w="1718"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Работники, бизнес</w:t>
            </w:r>
          </w:p>
        </w:tc>
      </w:tr>
      <w:tr w:rsidR="00DD3A55" w:rsidRPr="0031404A" w:rsidTr="00D42152">
        <w:trPr>
          <w:tblCellSpacing w:w="15" w:type="dxa"/>
        </w:trPr>
        <w:tc>
          <w:tcPr>
            <w:tcW w:w="1391" w:type="pct"/>
            <w:tcBorders>
              <w:top w:val="outset" w:sz="6" w:space="0" w:color="auto"/>
              <w:bottom w:val="outset" w:sz="6" w:space="0" w:color="auto"/>
              <w:right w:val="outset" w:sz="6" w:space="0" w:color="auto"/>
            </w:tcBorders>
            <w:vAlign w:val="center"/>
          </w:tcPr>
          <w:p w:rsidR="00DD3A55" w:rsidRPr="0031404A" w:rsidRDefault="00DD3A55" w:rsidP="00D42152">
            <w:pPr>
              <w:jc w:val="both"/>
            </w:pPr>
            <w:r w:rsidRPr="0031404A">
              <w:t>Примеры</w:t>
            </w:r>
          </w:p>
        </w:tc>
        <w:tc>
          <w:tcPr>
            <w:tcW w:w="1818" w:type="pct"/>
            <w:tcBorders>
              <w:top w:val="outset" w:sz="6" w:space="0" w:color="auto"/>
              <w:left w:val="outset" w:sz="6" w:space="0" w:color="auto"/>
              <w:bottom w:val="outset" w:sz="6" w:space="0" w:color="auto"/>
              <w:right w:val="outset" w:sz="6" w:space="0" w:color="auto"/>
            </w:tcBorders>
            <w:vAlign w:val="center"/>
          </w:tcPr>
          <w:p w:rsidR="00DD3A55" w:rsidRPr="0031404A" w:rsidRDefault="00DD3A55" w:rsidP="00D42152">
            <w:pPr>
              <w:jc w:val="both"/>
            </w:pPr>
            <w:r w:rsidRPr="0031404A">
              <w:t>Базовые дисциплины, гражданское право, язык, математика, логика, теоретическая часть профессионального обучения</w:t>
            </w:r>
          </w:p>
        </w:tc>
        <w:tc>
          <w:tcPr>
            <w:tcW w:w="1718" w:type="pct"/>
            <w:tcBorders>
              <w:top w:val="outset" w:sz="6" w:space="0" w:color="auto"/>
              <w:left w:val="outset" w:sz="6" w:space="0" w:color="auto"/>
              <w:bottom w:val="outset" w:sz="6" w:space="0" w:color="auto"/>
            </w:tcBorders>
            <w:vAlign w:val="center"/>
          </w:tcPr>
          <w:p w:rsidR="00DD3A55" w:rsidRPr="0031404A" w:rsidRDefault="00DD3A55" w:rsidP="00D42152">
            <w:pPr>
              <w:jc w:val="both"/>
            </w:pPr>
            <w:r w:rsidRPr="0031404A">
              <w:t>Индустриальные процессы, использование программного обеспечения, определенные технические и профессиональные навыки</w:t>
            </w:r>
          </w:p>
        </w:tc>
      </w:tr>
    </w:tbl>
    <w:p w:rsidR="00DD3A55" w:rsidRPr="0031404A" w:rsidRDefault="00DD3A55" w:rsidP="00DD3A55">
      <w:pPr>
        <w:spacing w:before="120"/>
        <w:ind w:firstLine="567"/>
        <w:jc w:val="both"/>
      </w:pPr>
      <w:r w:rsidRPr="0031404A">
        <w:t>Долговременные знания даются человеку академическим базовым образованием, которое требует достаточно долгого периода и финансируется семьей и государством. Знания с коротким периодом полураспада требуют гораздо более короткого периода обучения, которое финансируется самим работником и (или) работодателем. Оба эти типа знания характеризуются различной экономической отдачей. Кратковременные знания могут и должны окупаться за короткий срок, в противном случае затраты на их приобретение оказываются бесполезными в силу устаревания. Долговременные знания имеют весьма продолжительный цикл отдачи. Более того, они являются базой для интенсивного обновления краткосрочных знаний. Именно по этой причине вложения в фундаментальное общее образование в конечном счете приносят обществу значительный экономический эффект.</w:t>
      </w:r>
    </w:p>
    <w:p w:rsidR="00DD3A55" w:rsidRPr="0031404A" w:rsidRDefault="00DD3A55" w:rsidP="00DD3A55">
      <w:pPr>
        <w:spacing w:before="120"/>
        <w:ind w:firstLine="567"/>
        <w:jc w:val="both"/>
      </w:pPr>
      <w:r w:rsidRPr="0031404A">
        <w:t>Особенности процесса приобретения и использования знания определяют связь индивидуума с организацией, интеллектуальный капитал которой он формирует. С одной стороны, работник нуждается в организации, особенно в силу продолжающейся специализации знания, которое может быть применено только в организации и через организацию. С другой стороны, работник квалифицированного труда, знания и умения которого образуют его уникальный капитал, значительно отличается от обычного промышленного рабочего. Его капитал (знания) и средства производства (интеллектуальные инструменты анализа, синтеза, моделирования и т. п.) ставят его в положение внутреннего предпринимателя.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A55"/>
    <w:rsid w:val="00002B5A"/>
    <w:rsid w:val="000A20F4"/>
    <w:rsid w:val="0010437E"/>
    <w:rsid w:val="00286223"/>
    <w:rsid w:val="00295A5A"/>
    <w:rsid w:val="0031404A"/>
    <w:rsid w:val="00316F32"/>
    <w:rsid w:val="003221FA"/>
    <w:rsid w:val="00616072"/>
    <w:rsid w:val="006A5004"/>
    <w:rsid w:val="00710178"/>
    <w:rsid w:val="00736DAD"/>
    <w:rsid w:val="0081563E"/>
    <w:rsid w:val="008B35EE"/>
    <w:rsid w:val="00905CC1"/>
    <w:rsid w:val="00AA0A4F"/>
    <w:rsid w:val="00B42C45"/>
    <w:rsid w:val="00B47B6A"/>
    <w:rsid w:val="00D42152"/>
    <w:rsid w:val="00DD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B68576-5BEE-4CB8-BAD3-6E3E0AF4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A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D3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2197</Words>
  <Characters>12525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Ваш человеческий и социальный капитал</vt:lpstr>
    </vt:vector>
  </TitlesOfParts>
  <Company>Home</Company>
  <LinksUpToDate>false</LinksUpToDate>
  <CharactersWithSpaces>14693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Ваш человеческий и социальный капитал</dc:title>
  <dc:subject/>
  <dc:creator>User</dc:creator>
  <cp:keywords/>
  <dc:description/>
  <cp:lastModifiedBy>admin</cp:lastModifiedBy>
  <cp:revision>2</cp:revision>
  <dcterms:created xsi:type="dcterms:W3CDTF">2014-02-14T18:46:00Z</dcterms:created>
  <dcterms:modified xsi:type="dcterms:W3CDTF">2014-02-14T18:46:00Z</dcterms:modified>
</cp:coreProperties>
</file>