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F138" w14:textId="77777777" w:rsidR="00BA1863" w:rsidRDefault="00BA186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Особенности инвестиционного климата в Российской Федерации</w:t>
      </w:r>
    </w:p>
    <w:p w14:paraId="3528C7D0" w14:textId="77777777" w:rsidR="00BA1863" w:rsidRDefault="00BA1863">
      <w:pPr>
        <w:ind w:firstLine="851"/>
        <w:jc w:val="both"/>
      </w:pPr>
    </w:p>
    <w:p w14:paraId="78864190" w14:textId="77777777" w:rsidR="00BA1863" w:rsidRDefault="00BA1863">
      <w:pPr>
        <w:ind w:firstLine="720"/>
        <w:jc w:val="both"/>
      </w:pPr>
      <w:r>
        <w:t>Понятие "инвестиционный климат" отражает степень благоприятности ситуации, складывающейся в той или иной стране (регионе, отрасли), по отношению к инвестициям, которые могут быть сделаны в страну (регион, отрасль). Оценка инвестиционного климата основывается на анализе факторов, определяющих инвестиционный климат  и способствующих экономическому росту. Обычно применяются выходные параметры инвестиционного климата в стране (приток и отток капитала, уровень инфляции и процентных ставок, доля сбережений в ВВП), а также  входные параметры, определяющие значения выходных, характеризующие потенциал страны по освоению инвестиций и риск их реализации.  В их числе:</w:t>
      </w:r>
    </w:p>
    <w:p w14:paraId="518E2AB2" w14:textId="77777777" w:rsidR="00BA1863" w:rsidRDefault="00BA1863">
      <w:pPr>
        <w:ind w:firstLine="851"/>
        <w:jc w:val="both"/>
      </w:pPr>
    </w:p>
    <w:p w14:paraId="5608D265" w14:textId="77777777" w:rsidR="00BA1863" w:rsidRDefault="00BA1863">
      <w:pPr>
        <w:numPr>
          <w:ilvl w:val="0"/>
          <w:numId w:val="5"/>
        </w:numPr>
        <w:jc w:val="both"/>
      </w:pPr>
      <w:r>
        <w:t>природные ресурсы и состояние экологии;</w:t>
      </w:r>
    </w:p>
    <w:p w14:paraId="2B7C3D77" w14:textId="77777777" w:rsidR="00BA1863" w:rsidRDefault="00BA1863">
      <w:pPr>
        <w:numPr>
          <w:ilvl w:val="0"/>
          <w:numId w:val="5"/>
        </w:numPr>
        <w:jc w:val="both"/>
      </w:pPr>
      <w:r>
        <w:t>качество рабочей силы;</w:t>
      </w:r>
    </w:p>
    <w:p w14:paraId="584ED0BA" w14:textId="77777777" w:rsidR="00BA1863" w:rsidRDefault="00BA1863">
      <w:pPr>
        <w:numPr>
          <w:ilvl w:val="0"/>
          <w:numId w:val="5"/>
        </w:numPr>
        <w:jc w:val="both"/>
      </w:pPr>
      <w:r>
        <w:t>уровень развития и доступность объектов инфраструктуры;</w:t>
      </w:r>
    </w:p>
    <w:p w14:paraId="62AA48E2" w14:textId="77777777" w:rsidR="00BA1863" w:rsidRDefault="00BA1863">
      <w:pPr>
        <w:numPr>
          <w:ilvl w:val="0"/>
          <w:numId w:val="5"/>
        </w:numPr>
        <w:jc w:val="both"/>
      </w:pPr>
      <w:r>
        <w:t>политическая стабильность и предсказуемость, вероятность возникновения форс-мажорных обстоятельств;</w:t>
      </w:r>
    </w:p>
    <w:p w14:paraId="39BAF3B9" w14:textId="77777777" w:rsidR="00BA1863" w:rsidRDefault="00BA1863">
      <w:pPr>
        <w:numPr>
          <w:ilvl w:val="0"/>
          <w:numId w:val="5"/>
        </w:numPr>
        <w:jc w:val="both"/>
      </w:pPr>
      <w:r>
        <w:t>макроэкономическая стабильность: состояние бюджета, платежный баланс, государственный, в том числе внешний долг;</w:t>
      </w:r>
    </w:p>
    <w:p w14:paraId="5424D014" w14:textId="77777777" w:rsidR="00BA1863" w:rsidRDefault="00BA1863">
      <w:pPr>
        <w:numPr>
          <w:ilvl w:val="0"/>
          <w:numId w:val="5"/>
        </w:numPr>
        <w:jc w:val="both"/>
      </w:pPr>
      <w:r>
        <w:t>качество государственного управления, политика центральных и местных властей;</w:t>
      </w:r>
    </w:p>
    <w:p w14:paraId="234F813C" w14:textId="77777777" w:rsidR="00BA1863" w:rsidRDefault="00BA1863">
      <w:pPr>
        <w:numPr>
          <w:ilvl w:val="0"/>
          <w:numId w:val="5"/>
        </w:numPr>
        <w:jc w:val="both"/>
      </w:pPr>
      <w:r>
        <w:t>законодательство, полнота и качество в плане регулирования экономической жизни, степень либеральности;</w:t>
      </w:r>
    </w:p>
    <w:p w14:paraId="3C1D98D7" w14:textId="77777777" w:rsidR="00BA1863" w:rsidRDefault="00BA1863">
      <w:pPr>
        <w:numPr>
          <w:ilvl w:val="0"/>
          <w:numId w:val="5"/>
        </w:numPr>
        <w:jc w:val="both"/>
      </w:pPr>
      <w:r>
        <w:t>уровень соблюдения законности и правопорядка, преступность и коррупция;</w:t>
      </w:r>
    </w:p>
    <w:p w14:paraId="567D32DE" w14:textId="77777777" w:rsidR="00BA1863" w:rsidRDefault="00BA1863">
      <w:pPr>
        <w:numPr>
          <w:ilvl w:val="0"/>
          <w:numId w:val="5"/>
        </w:numPr>
        <w:jc w:val="both"/>
      </w:pPr>
      <w:r>
        <w:t>защита прав собственности, уровень корпоративного управления;</w:t>
      </w:r>
    </w:p>
    <w:p w14:paraId="1C15426C" w14:textId="77777777" w:rsidR="00BA1863" w:rsidRDefault="00BA1863">
      <w:pPr>
        <w:numPr>
          <w:ilvl w:val="0"/>
          <w:numId w:val="5"/>
        </w:numPr>
        <w:jc w:val="both"/>
      </w:pPr>
      <w:r>
        <w:t>обязательность партнеров при исполнении контрактов;</w:t>
      </w:r>
    </w:p>
    <w:p w14:paraId="76A1DF8E" w14:textId="77777777" w:rsidR="00BA1863" w:rsidRDefault="00BA1863">
      <w:pPr>
        <w:numPr>
          <w:ilvl w:val="0"/>
          <w:numId w:val="5"/>
        </w:numPr>
        <w:jc w:val="both"/>
      </w:pPr>
      <w:r>
        <w:t>качество налоговой системы и уровень налогового бремени;</w:t>
      </w:r>
    </w:p>
    <w:p w14:paraId="3B0A3EE0" w14:textId="77777777" w:rsidR="00BA1863" w:rsidRDefault="00BA1863">
      <w:pPr>
        <w:numPr>
          <w:ilvl w:val="0"/>
          <w:numId w:val="5"/>
        </w:numPr>
        <w:jc w:val="both"/>
      </w:pPr>
      <w:r>
        <w:t>качество банковской системы и других финансовых институтов; доступность кредитования;</w:t>
      </w:r>
    </w:p>
    <w:p w14:paraId="131AED9F" w14:textId="77777777" w:rsidR="00BA1863" w:rsidRDefault="00BA1863">
      <w:pPr>
        <w:numPr>
          <w:ilvl w:val="0"/>
          <w:numId w:val="5"/>
        </w:numPr>
        <w:jc w:val="both"/>
      </w:pPr>
      <w:r>
        <w:t>открытость экономики,  правила торговли с зарубежными странами;</w:t>
      </w:r>
    </w:p>
    <w:p w14:paraId="0B1AA2DD" w14:textId="77777777" w:rsidR="00BA1863" w:rsidRDefault="00BA1863">
      <w:pPr>
        <w:numPr>
          <w:ilvl w:val="0"/>
          <w:numId w:val="5"/>
        </w:numPr>
        <w:jc w:val="both"/>
      </w:pPr>
      <w:r>
        <w:t xml:space="preserve">административные, технические, информационные  и другие барьеры входа на рынок; </w:t>
      </w:r>
      <w:r>
        <w:rPr>
          <w:lang w:val="en-US"/>
        </w:rPr>
        <w:t>уровень монополизма в экономике.</w:t>
      </w:r>
    </w:p>
    <w:p w14:paraId="17E6B14F" w14:textId="77777777" w:rsidR="00BA1863" w:rsidRDefault="00BA1863">
      <w:pPr>
        <w:jc w:val="both"/>
      </w:pPr>
    </w:p>
    <w:p w14:paraId="082CDFF2" w14:textId="77777777" w:rsidR="00BA1863" w:rsidRDefault="00BA1863">
      <w:pPr>
        <w:ind w:firstLine="720"/>
        <w:jc w:val="both"/>
      </w:pPr>
      <w:r>
        <w:t xml:space="preserve">Традиционно принято считать, что главные конкурентные преимущества России – это богатые природные ресурсы, высокий уровень образования и сильный интеллектуальный потенциал. </w:t>
      </w:r>
    </w:p>
    <w:p w14:paraId="3C97FBE4" w14:textId="77777777" w:rsidR="00BA1863" w:rsidRDefault="00BA1863">
      <w:pPr>
        <w:pStyle w:val="2"/>
      </w:pPr>
      <w:r>
        <w:t xml:space="preserve">Но уже в отношении качества рабочей силы необходимо трезво оценивать нашу конкурентоспособность. Сравнительная интегральная оценка качества рабочей силы,  которую  швейцарский институт </w:t>
      </w:r>
      <w:r>
        <w:rPr>
          <w:lang w:val="en-US"/>
        </w:rPr>
        <w:t xml:space="preserve">Beri </w:t>
      </w:r>
      <w:r>
        <w:t xml:space="preserve">ежегодно </w:t>
      </w:r>
      <w:r>
        <w:rPr>
          <w:lang w:val="en-US"/>
        </w:rPr>
        <w:t>определяет для 49 стран</w:t>
      </w:r>
      <w:r>
        <w:t>, характеризует  Россию как страну не очень благоприятную для размещения производства, на рубеже с группой стран не подходящих для размещения какого-либо производства.</w:t>
      </w:r>
      <w:r>
        <w:rPr>
          <w:rStyle w:val="a7"/>
          <w:vanish/>
        </w:rPr>
        <w:commentReference w:id="0"/>
      </w:r>
      <w:r>
        <w:rPr>
          <w:rStyle w:val="a5"/>
        </w:rPr>
        <w:footnoteReference w:id="1"/>
      </w:r>
      <w:r>
        <w:t xml:space="preserve"> Вопреки распространенному мнению о дешевизне российской рабочей силы, соотношение зарплаты и производительности труда российских рабочих проигрывает аналогичному показателю во многих странах, составляя 1/5 от максимального уровня. Трудовая дисциплина по отношению к труду оценивается в 1/3 от возможного максимального уровня.   Весьма  ограниченное количество трудящихся обладает квалификацией и культурой производства, необходимыми для современного компьютеризированного производства. </w:t>
      </w:r>
    </w:p>
    <w:p w14:paraId="2DA71D6A" w14:textId="77777777" w:rsidR="00BA1863" w:rsidRDefault="00BA1863">
      <w:pPr>
        <w:ind w:firstLine="720"/>
        <w:jc w:val="both"/>
      </w:pPr>
      <w:r>
        <w:t>Что касается инфраструктуры, то она обычно оценивается как явная слабость. Необъятные просторы оборачиваются значительными транспортными издержками, что снижает привлекательность регионов, удаленных от рынков  сырья и сбыта. Отсутствие современной инфраструктуры значительно увеличивает величину необходимых первоначальных затрат.</w:t>
      </w:r>
    </w:p>
    <w:p w14:paraId="7F203F33" w14:textId="77777777" w:rsidR="00BA1863" w:rsidRDefault="00BA1863">
      <w:pPr>
        <w:numPr>
          <w:ilvl w:val="0"/>
          <w:numId w:val="4"/>
        </w:numPr>
        <w:jc w:val="both"/>
      </w:pPr>
      <w:r>
        <w:t>Политическая стабильность и предсказуемость представляют одно из самых уязвимых мест российского инвестиционного климата. Однако, сейчас инвесторы ожидают, что с завершением парламентских и президентских выборов ситуация по этому фактору значительно улучшится.</w:t>
      </w:r>
    </w:p>
    <w:p w14:paraId="1325839D" w14:textId="77777777" w:rsidR="00BA1863" w:rsidRDefault="00BA1863">
      <w:pPr>
        <w:pStyle w:val="a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Отмечаются успехи России в продвижении рыночных реформ, особенно заметные в сравнении с тем, что было 7-10 лет назад. Однако до эффективной рыночной экономики еще далеко.</w:t>
      </w:r>
    </w:p>
    <w:p w14:paraId="2136C9B8" w14:textId="77777777" w:rsidR="00BA1863" w:rsidRDefault="00BA1863">
      <w:pPr>
        <w:ind w:firstLine="851"/>
        <w:jc w:val="both"/>
      </w:pPr>
      <w:r>
        <w:t>Макроэкономические показатели весьма напряженные, но в целом более или менее стабильные. После кризиса удалось избежать гиперинфляции, в 1999 году наблюдается рост  промышленности. Правительству удалось отодвинуть угрозу суверенного дефолта, хотя величина государственного долга и график его обслуживания представляют серьезную проблему.</w:t>
      </w:r>
    </w:p>
    <w:p w14:paraId="4DE56DB6" w14:textId="77777777" w:rsidR="00BA1863" w:rsidRDefault="00BA1863">
      <w:pPr>
        <w:ind w:firstLine="851"/>
        <w:jc w:val="both"/>
      </w:pPr>
      <w:r>
        <w:t>Негативное влияние на инвестиционный климат оказывает слабость государства, неэффективность его усилий по защите прав собственности, обеспечению исполнения обязательств по контрактам, борьбе с коррупцией и преступностью.</w:t>
      </w:r>
    </w:p>
    <w:p w14:paraId="75AEBF19" w14:textId="77777777" w:rsidR="00BA1863" w:rsidRDefault="00BA1863">
      <w:pPr>
        <w:ind w:firstLine="851"/>
        <w:jc w:val="both"/>
      </w:pPr>
      <w:r>
        <w:t xml:space="preserve">Значительные препятствия для инвестиций составляют неплатежи, распространение бартера, ненадежность банковской системы, особенно после кризиса 1998 года. </w:t>
      </w:r>
    </w:p>
    <w:p w14:paraId="4BE61612" w14:textId="77777777" w:rsidR="00BA1863" w:rsidRDefault="00BA1863">
      <w:pPr>
        <w:ind w:firstLine="851"/>
        <w:jc w:val="both"/>
      </w:pPr>
      <w:r>
        <w:t>Налоговая система признается неудовлетворительной, прежде всего с точки зрения практики взыскания налогов и защиты прав налогоплательщиков.</w:t>
      </w:r>
    </w:p>
    <w:p w14:paraId="54E99145" w14:textId="77777777" w:rsidR="00BA1863" w:rsidRDefault="00BA1863">
      <w:pPr>
        <w:pStyle w:val="2"/>
      </w:pPr>
    </w:p>
    <w:p w14:paraId="1F76F104" w14:textId="77777777" w:rsidR="00BA1863" w:rsidRDefault="00BA1863">
      <w:pPr>
        <w:ind w:firstLine="851"/>
        <w:jc w:val="both"/>
        <w:rPr>
          <w:u w:val="single"/>
        </w:rPr>
      </w:pPr>
    </w:p>
    <w:p w14:paraId="3108DDFA" w14:textId="77777777" w:rsidR="00BA1863" w:rsidRDefault="00BA1863">
      <w:pPr>
        <w:ind w:left="851"/>
        <w:jc w:val="both"/>
      </w:pPr>
    </w:p>
    <w:p w14:paraId="3C388A26" w14:textId="77777777" w:rsidR="00BA1863" w:rsidRDefault="00BA186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br w:type="page"/>
        <w:t>Особенности функционирования оффшорных зон</w:t>
      </w:r>
    </w:p>
    <w:p w14:paraId="6018B4D6" w14:textId="77777777" w:rsidR="00BA1863" w:rsidRDefault="00BA1863">
      <w:pPr>
        <w:jc w:val="both"/>
        <w:rPr>
          <w:b/>
        </w:rPr>
      </w:pPr>
    </w:p>
    <w:p w14:paraId="2EDE5833" w14:textId="77777777" w:rsidR="00BA1863" w:rsidRDefault="00BA1863">
      <w:pPr>
        <w:ind w:firstLine="720"/>
        <w:jc w:val="both"/>
      </w:pPr>
      <w:r>
        <w:rPr>
          <w:b/>
        </w:rPr>
        <w:t xml:space="preserve"> </w:t>
      </w:r>
      <w:r>
        <w:t>Под «оффшорной» деятельностью чаще всего понимается деятельность фирм и компаний вне юрисдикции какого-либо государства, а под «международными оффшорными центрами» - центры, в которых участники кредитно-финансовых операций не являются резидентами государства, на территории которого совершаются сделки. При этом участники указанных операций пользуются особым правовым и налоговым режимом.</w:t>
      </w:r>
    </w:p>
    <w:p w14:paraId="22EA69EE" w14:textId="77777777" w:rsidR="00BA1863" w:rsidRDefault="00BA1863">
      <w:pPr>
        <w:ind w:firstLine="720"/>
        <w:jc w:val="both"/>
      </w:pPr>
      <w:r>
        <w:t>«</w:t>
      </w:r>
      <w:r>
        <w:rPr>
          <w:lang w:val="en-US"/>
        </w:rPr>
        <w:t>Off-shore</w:t>
      </w:r>
      <w:r>
        <w:t xml:space="preserve">» переводится как «за пределами морской границы», «не попадающий под национальное регулирование». </w:t>
      </w:r>
    </w:p>
    <w:p w14:paraId="15EE9B4B" w14:textId="77777777" w:rsidR="00BA1863" w:rsidRDefault="00BA1863">
      <w:pPr>
        <w:ind w:firstLine="720"/>
        <w:jc w:val="both"/>
      </w:pPr>
      <w:r>
        <w:t>Формирование  оффшорных центров и зон обуславливается:</w:t>
      </w:r>
    </w:p>
    <w:p w14:paraId="7DC838D3" w14:textId="77777777" w:rsidR="00BA1863" w:rsidRDefault="00BA1863">
      <w:pPr>
        <w:numPr>
          <w:ilvl w:val="0"/>
          <w:numId w:val="6"/>
        </w:numPr>
        <w:jc w:val="both"/>
      </w:pPr>
      <w:r>
        <w:t>интернационализацией кредитно-финансового бизнеса;</w:t>
      </w:r>
    </w:p>
    <w:p w14:paraId="0538F9C8" w14:textId="77777777" w:rsidR="00BA1863" w:rsidRDefault="00BA1863">
      <w:pPr>
        <w:numPr>
          <w:ilvl w:val="0"/>
          <w:numId w:val="6"/>
        </w:numPr>
        <w:jc w:val="both"/>
      </w:pPr>
      <w:r>
        <w:t>возникновением повышенного спроса на посреднические финансовые операции;</w:t>
      </w:r>
    </w:p>
    <w:p w14:paraId="75D31C55" w14:textId="77777777" w:rsidR="00BA1863" w:rsidRDefault="00BA1863">
      <w:pPr>
        <w:numPr>
          <w:ilvl w:val="0"/>
          <w:numId w:val="6"/>
        </w:numPr>
        <w:jc w:val="both"/>
      </w:pPr>
      <w:r>
        <w:t>различием норм, регулирующих деятельность финансовых компаний и налогообложение их доходов в различных государствах и регионах.</w:t>
      </w:r>
    </w:p>
    <w:p w14:paraId="3EF2EF4D" w14:textId="77777777" w:rsidR="00BA1863" w:rsidRDefault="00BA1863">
      <w:pPr>
        <w:pStyle w:val="3"/>
      </w:pPr>
      <w:r>
        <w:t xml:space="preserve"> Успешное развитие оффшорных зон зависит от таких факторов, как:</w:t>
      </w:r>
    </w:p>
    <w:p w14:paraId="08D331B8" w14:textId="77777777" w:rsidR="00BA1863" w:rsidRDefault="00BA1863">
      <w:pPr>
        <w:numPr>
          <w:ilvl w:val="0"/>
          <w:numId w:val="6"/>
        </w:numPr>
        <w:jc w:val="both"/>
      </w:pPr>
      <w:r>
        <w:t>географическое положение, включающее местоположение центра по отношению к основным районам деятельности материнских компаний;</w:t>
      </w:r>
    </w:p>
    <w:p w14:paraId="29272408" w14:textId="77777777" w:rsidR="00BA1863" w:rsidRDefault="00BA1863">
      <w:pPr>
        <w:numPr>
          <w:ilvl w:val="0"/>
          <w:numId w:val="6"/>
        </w:numPr>
        <w:jc w:val="both"/>
      </w:pPr>
      <w:r>
        <w:t>наличие развитой инфраструктуры, центрального банка;</w:t>
      </w:r>
    </w:p>
    <w:p w14:paraId="5D9E059F" w14:textId="77777777" w:rsidR="00BA1863" w:rsidRDefault="00BA1863">
      <w:pPr>
        <w:numPr>
          <w:ilvl w:val="0"/>
          <w:numId w:val="6"/>
        </w:numPr>
        <w:jc w:val="both"/>
      </w:pPr>
      <w:r>
        <w:t>минимальное государственное регулирование деятельности оффшорных компаний и др.</w:t>
      </w:r>
    </w:p>
    <w:p w14:paraId="124A7FE1" w14:textId="77777777" w:rsidR="00BA1863" w:rsidRDefault="00BA1863">
      <w:pPr>
        <w:pStyle w:val="a3"/>
        <w:spacing w:line="240" w:lineRule="auto"/>
      </w:pPr>
      <w:r>
        <w:t>Важной привилегией оффшорных зон является создание для них особого льготного инвестиционного режима, который состоит, в первую очередь, в упрощенном порядке открытия отделений, филиалов и представительств зарубежных кредитно-финансовых предприятий, свободный вывоз прибылей, отсутствие ограничений на объемы инвестиций.</w:t>
      </w:r>
    </w:p>
    <w:p w14:paraId="4F18896B" w14:textId="77777777" w:rsidR="00BA1863" w:rsidRDefault="00BA1863">
      <w:pPr>
        <w:ind w:firstLine="720"/>
        <w:jc w:val="both"/>
      </w:pPr>
      <w:r>
        <w:t>Также оффшорные зоны имеют существенные налоговые льготы: полное или частичное освобождение от налогообложения доходов. В основном в зонах взимаются налоги на недвижимость, сборы за регистрацию собственности, гербовые сборы.</w:t>
      </w:r>
    </w:p>
    <w:p w14:paraId="7B5CADED" w14:textId="77777777" w:rsidR="00BA1863" w:rsidRDefault="00BA1863">
      <w:pPr>
        <w:ind w:firstLine="720"/>
        <w:jc w:val="both"/>
      </w:pPr>
      <w:r>
        <w:t>Чем привлекают оффшорные зоны иностранных инвесторов:</w:t>
      </w:r>
    </w:p>
    <w:p w14:paraId="2D89580E" w14:textId="77777777" w:rsidR="00BA1863" w:rsidRDefault="00BA1863">
      <w:pPr>
        <w:numPr>
          <w:ilvl w:val="0"/>
          <w:numId w:val="7"/>
        </w:numPr>
        <w:jc w:val="both"/>
      </w:pPr>
      <w:r>
        <w:t>упрощенная процедура регистрации, минимальный размер уставного капитала в большинстве государств не устанавливается, личности владельцев компаний и фирм обычно не подлежат разглашению.</w:t>
      </w:r>
    </w:p>
    <w:p w14:paraId="0903EDC7" w14:textId="77777777" w:rsidR="00BA1863" w:rsidRDefault="00BA1863">
      <w:pPr>
        <w:numPr>
          <w:ilvl w:val="0"/>
          <w:numId w:val="7"/>
        </w:numPr>
        <w:jc w:val="both"/>
      </w:pPr>
      <w:r>
        <w:t>налог на прибыль составляет 1-3%, а ежегодный сбор в разных государствах составляет от 150 до 1000 долларов США.</w:t>
      </w:r>
    </w:p>
    <w:p w14:paraId="76C592DA" w14:textId="77777777" w:rsidR="00BA1863" w:rsidRDefault="00BA1863">
      <w:pPr>
        <w:numPr>
          <w:ilvl w:val="0"/>
          <w:numId w:val="7"/>
        </w:numPr>
        <w:jc w:val="both"/>
      </w:pPr>
      <w:r>
        <w:t>в зонах нет ограничений на вывоз валюты, компании могут открывать депозиты в любой валюте в самых разных государствах, они могут осуществлять и получать платежи в любой валюте без ограничений.</w:t>
      </w:r>
    </w:p>
    <w:p w14:paraId="149FB1CE" w14:textId="77777777" w:rsidR="00BA1863" w:rsidRDefault="00BA1863">
      <w:pPr>
        <w:numPr>
          <w:ilvl w:val="0"/>
          <w:numId w:val="7"/>
        </w:numPr>
        <w:jc w:val="both"/>
      </w:pPr>
      <w:r>
        <w:t>многие страны в оффшорных зонах не требуют от фирмы предоставления отчета по ведению счетов, налоговых деклараций, счета компаний проверяются только по решению владельцев, единственная форма отчетности – ежегодный финансовый отчет.</w:t>
      </w:r>
    </w:p>
    <w:p w14:paraId="4D74E202" w14:textId="77777777" w:rsidR="00BA1863" w:rsidRDefault="00BA1863">
      <w:pPr>
        <w:ind w:firstLine="709"/>
        <w:jc w:val="both"/>
      </w:pPr>
      <w:r>
        <w:t>Основная цель создания оффшорных зон – концентрация внешних финансовых ресурсов в регионах через местные финансово-банковские институты, что обусловливает интенсификацию банковской деятельности, улучшение инвестиционного климата, развитию внешнеэкономической деятельности.</w:t>
      </w:r>
    </w:p>
    <w:p w14:paraId="180F4D15" w14:textId="77777777" w:rsidR="00BA1863" w:rsidRDefault="00BA1863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Понятия и основания применения аккредитивных и инкассовых форм расчета.</w:t>
      </w:r>
    </w:p>
    <w:p w14:paraId="1E0CD6C1" w14:textId="77777777" w:rsidR="00BA1863" w:rsidRDefault="00BA1863">
      <w:pPr>
        <w:ind w:firstLine="720"/>
        <w:jc w:val="both"/>
      </w:pPr>
      <w:r>
        <w:rPr>
          <w:b/>
        </w:rPr>
        <w:t>Аккредитив</w:t>
      </w:r>
      <w:r>
        <w:rPr>
          <w:lang w:val="en-US"/>
        </w:rPr>
        <w:t xml:space="preserve"> (letter of credit) —</w:t>
      </w:r>
      <w:r>
        <w:t xml:space="preserve"> это обязательство банка произвести по просьбе и в соответствии с указаниями импортера платеж экспортеру.</w:t>
      </w:r>
    </w:p>
    <w:p w14:paraId="6D975F76" w14:textId="77777777" w:rsidR="00BA1863" w:rsidRDefault="00BA1863">
      <w:pPr>
        <w:ind w:firstLine="720"/>
        <w:jc w:val="both"/>
      </w:pPr>
      <w:r>
        <w:t>В практике международных расчетов используются различные виды аккредитивов:</w:t>
      </w:r>
    </w:p>
    <w:p w14:paraId="6336184B" w14:textId="77777777" w:rsidR="00BA1863" w:rsidRDefault="00BA1863">
      <w:pPr>
        <w:ind w:firstLine="720"/>
        <w:jc w:val="both"/>
      </w:pPr>
      <w:r>
        <w:t>отзывные и безотзывные;</w:t>
      </w:r>
    </w:p>
    <w:p w14:paraId="2D4EDAC7" w14:textId="77777777" w:rsidR="00BA1863" w:rsidRDefault="00BA1863">
      <w:pPr>
        <w:ind w:firstLine="720"/>
        <w:jc w:val="both"/>
      </w:pPr>
      <w:r>
        <w:t>подтвержденные и неподтвержденные;</w:t>
      </w:r>
    </w:p>
    <w:p w14:paraId="452BBC7D" w14:textId="77777777" w:rsidR="00BA1863" w:rsidRDefault="00BA1863">
      <w:pPr>
        <w:ind w:firstLine="720"/>
        <w:jc w:val="both"/>
      </w:pPr>
      <w:r>
        <w:t>переводные (трансферабельные);</w:t>
      </w:r>
    </w:p>
    <w:p w14:paraId="39EAEA17" w14:textId="77777777" w:rsidR="00BA1863" w:rsidRDefault="00BA1863">
      <w:pPr>
        <w:ind w:firstLine="720"/>
        <w:jc w:val="both"/>
      </w:pPr>
      <w:r>
        <w:t>револьверные (возобновляемые);</w:t>
      </w:r>
    </w:p>
    <w:p w14:paraId="042356AA" w14:textId="77777777" w:rsidR="00BA1863" w:rsidRDefault="00BA1863">
      <w:pPr>
        <w:ind w:firstLine="720"/>
        <w:jc w:val="both"/>
      </w:pPr>
      <w:r>
        <w:t>покрытые и непокрытые;</w:t>
      </w:r>
    </w:p>
    <w:p w14:paraId="5AC07739" w14:textId="77777777" w:rsidR="00BA1863" w:rsidRDefault="00BA1863">
      <w:pPr>
        <w:ind w:firstLine="720"/>
        <w:jc w:val="both"/>
      </w:pPr>
      <w:r>
        <w:t>документарные и денежные;</w:t>
      </w:r>
    </w:p>
    <w:p w14:paraId="24AA99C7" w14:textId="77777777" w:rsidR="00BA1863" w:rsidRDefault="00BA1863">
      <w:pPr>
        <w:ind w:firstLine="720"/>
        <w:jc w:val="both"/>
      </w:pPr>
      <w:r>
        <w:t>резервные.</w:t>
      </w:r>
    </w:p>
    <w:p w14:paraId="3FDA397D" w14:textId="77777777" w:rsidR="00BA1863" w:rsidRDefault="00BA1863">
      <w:pPr>
        <w:ind w:firstLine="720"/>
        <w:jc w:val="both"/>
      </w:pPr>
      <w:r>
        <w:t>В каждом аккредитиве должны содержаться следующие реквизиты:</w:t>
      </w:r>
    </w:p>
    <w:p w14:paraId="31DC5437" w14:textId="77777777" w:rsidR="00BA1863" w:rsidRDefault="00BA1863">
      <w:pPr>
        <w:ind w:firstLine="720"/>
        <w:jc w:val="both"/>
      </w:pPr>
      <w:r>
        <w:t>наименование и адрес экспортера и его банка;</w:t>
      </w:r>
    </w:p>
    <w:p w14:paraId="6C9799B8" w14:textId="77777777" w:rsidR="00BA1863" w:rsidRDefault="00BA1863">
      <w:pPr>
        <w:ind w:firstLine="720"/>
        <w:jc w:val="both"/>
      </w:pPr>
      <w:r>
        <w:t>отметка о том, является ли аккредитив отзывным или безотзывным (в последнем случае должна быть указана продолжительность аккредитива);</w:t>
      </w:r>
    </w:p>
    <w:p w14:paraId="0EF11C96" w14:textId="77777777" w:rsidR="00BA1863" w:rsidRDefault="00BA1863">
      <w:pPr>
        <w:ind w:firstLine="720"/>
        <w:jc w:val="both"/>
      </w:pPr>
      <w:r>
        <w:t>сумма аккредитива;</w:t>
      </w:r>
    </w:p>
    <w:p w14:paraId="52E259F8" w14:textId="77777777" w:rsidR="00BA1863" w:rsidRDefault="00BA1863">
      <w:pPr>
        <w:ind w:firstLine="720"/>
        <w:jc w:val="both"/>
      </w:pPr>
      <w:r>
        <w:t>вид отгрузочных документов;</w:t>
      </w:r>
    </w:p>
    <w:p w14:paraId="50A250C4" w14:textId="77777777" w:rsidR="00BA1863" w:rsidRDefault="00BA1863">
      <w:pPr>
        <w:ind w:firstLine="720"/>
        <w:jc w:val="both"/>
      </w:pPr>
      <w:r>
        <w:t>количество, цена и точное обозначение товара;</w:t>
      </w:r>
    </w:p>
    <w:p w14:paraId="7E014897" w14:textId="77777777" w:rsidR="00BA1863" w:rsidRDefault="00BA1863">
      <w:pPr>
        <w:ind w:firstLine="720"/>
        <w:jc w:val="both"/>
      </w:pPr>
      <w:r>
        <w:t>условия поставки;</w:t>
      </w:r>
    </w:p>
    <w:p w14:paraId="124ABD72" w14:textId="77777777" w:rsidR="00BA1863" w:rsidRDefault="00BA1863">
      <w:pPr>
        <w:ind w:firstLine="720"/>
        <w:jc w:val="both"/>
      </w:pPr>
      <w:r>
        <w:t>максимальный срок поставки.</w:t>
      </w:r>
    </w:p>
    <w:p w14:paraId="58528A2A" w14:textId="77777777" w:rsidR="00BA1863" w:rsidRDefault="00BA1863">
      <w:pPr>
        <w:ind w:firstLine="720"/>
        <w:jc w:val="both"/>
      </w:pPr>
      <w:r>
        <w:t>Аккредитив с момента его открытия рассматривается как самостоятельная сделка, независимая от контракта, на котором она основана.</w:t>
      </w:r>
    </w:p>
    <w:p w14:paraId="718B5F98" w14:textId="77777777" w:rsidR="00BA1863" w:rsidRDefault="00BA1863">
      <w:pPr>
        <w:ind w:firstLine="720"/>
        <w:jc w:val="both"/>
      </w:pPr>
      <w:r>
        <w:t>Важным моментом при расчетах аккредитивом является его своевременное открытие. Срок открытия аккредитива в отдельных контрактах определяется по-разному, например:</w:t>
      </w:r>
    </w:p>
    <w:p w14:paraId="0ADF5178" w14:textId="77777777" w:rsidR="00BA1863" w:rsidRDefault="00BA1863">
      <w:pPr>
        <w:ind w:firstLine="720"/>
        <w:jc w:val="both"/>
      </w:pPr>
      <w:r>
        <w:t>при заключении сделки и подписании контракта или через несколько дней после этого (через 15 дней после подписания контракта или в течение 30—60 дней с момента подписания);</w:t>
      </w:r>
    </w:p>
    <w:p w14:paraId="344516D3" w14:textId="77777777" w:rsidR="00BA1863" w:rsidRDefault="00BA1863">
      <w:pPr>
        <w:ind w:firstLine="720"/>
        <w:jc w:val="both"/>
      </w:pPr>
      <w:r>
        <w:t>в определенный срок до начала отгрузки;</w:t>
      </w:r>
    </w:p>
    <w:p w14:paraId="59897943" w14:textId="77777777" w:rsidR="00BA1863" w:rsidRDefault="00BA1863">
      <w:pPr>
        <w:ind w:firstLine="720"/>
        <w:jc w:val="both"/>
      </w:pPr>
      <w:r>
        <w:t>в течение нескольких дней после получения извещения экспортера о готовности товара к отгрузке;</w:t>
      </w:r>
    </w:p>
    <w:p w14:paraId="09FDECAA" w14:textId="77777777" w:rsidR="00BA1863" w:rsidRDefault="00BA1863">
      <w:pPr>
        <w:ind w:firstLine="720"/>
        <w:jc w:val="both"/>
      </w:pPr>
      <w:r>
        <w:t>одновременно с указанием об отгрузке товара.</w:t>
      </w:r>
    </w:p>
    <w:p w14:paraId="6D6CE9C1" w14:textId="77777777" w:rsidR="00BA1863" w:rsidRDefault="00BA1863">
      <w:pPr>
        <w:ind w:firstLine="720"/>
        <w:jc w:val="both"/>
      </w:pPr>
      <w:r>
        <w:t>Экспортеры заинтересованы в заблаговременном открытии аккредитива, чтобы не нести дополнительных расходов по хранению товара и других издержек. Срок действия аккредитива устанавливается в зависимости от характера и количества проданного товара. Обычно аккредитив открывается на срок от 30 до 150 дней.</w:t>
      </w:r>
    </w:p>
    <w:p w14:paraId="06509391" w14:textId="77777777" w:rsidR="00BA1863" w:rsidRDefault="00BA1863">
      <w:pPr>
        <w:ind w:firstLine="720"/>
        <w:jc w:val="both"/>
      </w:pPr>
      <w:r>
        <w:t>Аккредитив выгоден экспортеру, так как обеспечивает ему:</w:t>
      </w:r>
    </w:p>
    <w:p w14:paraId="5C39DE4B" w14:textId="77777777" w:rsidR="00BA1863" w:rsidRDefault="00BA1863">
      <w:pPr>
        <w:ind w:firstLine="720"/>
        <w:jc w:val="both"/>
      </w:pPr>
      <w:r>
        <w:t>надежность расчетов (обещание банка на оплату);</w:t>
      </w:r>
    </w:p>
    <w:p w14:paraId="3311BB10" w14:textId="77777777" w:rsidR="00BA1863" w:rsidRDefault="00BA1863">
      <w:pPr>
        <w:ind w:firstLine="720"/>
        <w:jc w:val="both"/>
      </w:pPr>
      <w:r>
        <w:t>скорость расчетов (получение денег после отгрузки товара);</w:t>
      </w:r>
    </w:p>
    <w:p w14:paraId="4A422A28" w14:textId="77777777" w:rsidR="00BA1863" w:rsidRDefault="00BA1863">
      <w:pPr>
        <w:ind w:firstLine="720"/>
        <w:jc w:val="both"/>
      </w:pPr>
      <w:r>
        <w:t>возможность получения дополнительного финансирования под открытый и подтвержденный аккредитив.</w:t>
      </w:r>
    </w:p>
    <w:p w14:paraId="67581619" w14:textId="77777777" w:rsidR="00BA1863" w:rsidRDefault="00BA1863">
      <w:pPr>
        <w:ind w:firstLine="720"/>
        <w:jc w:val="both"/>
      </w:pPr>
      <w:r>
        <w:t>Для импортера при аккредитивной форме расчетов также повышается надежность поставки товара, но в то же время ему это менее выгодно, поскольку он:</w:t>
      </w:r>
    </w:p>
    <w:p w14:paraId="3954A78E" w14:textId="77777777" w:rsidR="00BA1863" w:rsidRDefault="00BA1863">
      <w:pPr>
        <w:ind w:firstLine="720"/>
        <w:jc w:val="both"/>
      </w:pPr>
      <w:r>
        <w:t>платит банку за открытие аккредитива;</w:t>
      </w:r>
    </w:p>
    <w:p w14:paraId="7FACD0B1" w14:textId="77777777" w:rsidR="00BA1863" w:rsidRDefault="00BA1863">
      <w:pPr>
        <w:ind w:firstLine="720"/>
        <w:jc w:val="both"/>
      </w:pPr>
      <w:r>
        <w:t>открывает аккредитив до поставки товара («замораживает» свои деньги или платит за кредит).</w:t>
      </w:r>
    </w:p>
    <w:p w14:paraId="23CF1BE6" w14:textId="77777777" w:rsidR="00BA1863" w:rsidRDefault="00BA1863">
      <w:pPr>
        <w:ind w:firstLine="720"/>
        <w:jc w:val="both"/>
      </w:pPr>
      <w:r>
        <w:t xml:space="preserve">Наиболее выгодным и надежным для экспортера является документарный аккредитив, который часто применяется в зарубежной практике. </w:t>
      </w:r>
    </w:p>
    <w:p w14:paraId="5B6E1B4C" w14:textId="77777777" w:rsidR="00BA1863" w:rsidRDefault="00BA1863">
      <w:pPr>
        <w:ind w:firstLine="720"/>
        <w:jc w:val="both"/>
      </w:pPr>
      <w:r>
        <w:rPr>
          <w:b/>
        </w:rPr>
        <w:t>Инкассо</w:t>
      </w:r>
      <w:r>
        <w:rPr>
          <w:lang w:val="en-US"/>
        </w:rPr>
        <w:t xml:space="preserve"> (collection) —</w:t>
      </w:r>
      <w:r>
        <w:t xml:space="preserve"> поручение экспортера своему банку получить от импортера непосредственно или через другой банк определенную сумму или подтверждение того, что эта сумма будет выплачена в установленные сроки.</w:t>
      </w:r>
    </w:p>
    <w:p w14:paraId="2A1A1D29" w14:textId="77777777" w:rsidR="00BA1863" w:rsidRDefault="00BA1863">
      <w:pPr>
        <w:ind w:firstLine="720"/>
        <w:jc w:val="both"/>
      </w:pPr>
      <w:r>
        <w:t>Различается два вида инкассо:</w:t>
      </w:r>
    </w:p>
    <w:p w14:paraId="46DD6C9C" w14:textId="77777777" w:rsidR="00BA1863" w:rsidRDefault="00BA1863">
      <w:pPr>
        <w:ind w:firstLine="720"/>
        <w:jc w:val="both"/>
      </w:pPr>
      <w:r>
        <w:t>• простое (чистое) инкассо, т. е. взыскание платежа по финансовым документам, не сопровождаемым коммерческими документами;</w:t>
      </w:r>
    </w:p>
    <w:p w14:paraId="379C77C9" w14:textId="77777777" w:rsidR="00BA1863" w:rsidRDefault="00BA1863">
      <w:pPr>
        <w:ind w:firstLine="720"/>
        <w:jc w:val="both"/>
      </w:pPr>
      <w:r>
        <w:t>• документарное инкассо, т. е. взыскание платежа по финансовым документам, сопровождаемым коммерческими документами, либо только по коммерческим документам. Документы, с которыми проводятся операции по инкассо, подразделяются на две группы:</w:t>
      </w:r>
    </w:p>
    <w:p w14:paraId="08AC2F11" w14:textId="77777777" w:rsidR="00BA1863" w:rsidRDefault="00BA1863">
      <w:pPr>
        <w:ind w:firstLine="720"/>
        <w:jc w:val="both"/>
      </w:pPr>
      <w:r>
        <w:t>финансовые (векселя, чеки и др.);</w:t>
      </w:r>
    </w:p>
    <w:p w14:paraId="509658DF" w14:textId="77777777" w:rsidR="00BA1863" w:rsidRDefault="00BA1863">
      <w:pPr>
        <w:ind w:firstLine="720"/>
        <w:jc w:val="both"/>
      </w:pPr>
      <w:r>
        <w:t>коммерческие (транспортные документы и др.). В качестве транспортных документов могут выступать: коносамент, почтовая квитанция или сертификат об отгрузке почтой, накладная воздушного сообщения, железнодорожная или автотранспортная накладная, акт приемки (сдачи) и т. д.</w:t>
      </w:r>
    </w:p>
    <w:p w14:paraId="32DC379B" w14:textId="77777777" w:rsidR="00BA1863" w:rsidRDefault="00BA1863">
      <w:pPr>
        <w:ind w:firstLine="720"/>
        <w:jc w:val="both"/>
      </w:pPr>
      <w:r>
        <w:t>При документарном инкассо экспортер может дать различные указания банку по использованию прилагаемых коммерческих (товарно-транспортных) документов, например:</w:t>
      </w:r>
    </w:p>
    <w:p w14:paraId="454E11EC" w14:textId="77777777" w:rsidR="00BA1863" w:rsidRDefault="00BA1863">
      <w:pPr>
        <w:ind w:firstLine="720"/>
        <w:jc w:val="both"/>
      </w:pPr>
      <w:r>
        <w:t>• выдать документы только после оплаты — документы против платежа</w:t>
      </w:r>
      <w:r>
        <w:rPr>
          <w:lang w:val="en-US"/>
        </w:rPr>
        <w:t xml:space="preserve"> (D/P</w:t>
      </w:r>
      <w:r>
        <w:t xml:space="preserve"> —</w:t>
      </w:r>
      <w:r>
        <w:rPr>
          <w:lang w:val="en-US"/>
        </w:rPr>
        <w:t xml:space="preserve"> documents against payment);</w:t>
      </w:r>
    </w:p>
    <w:p w14:paraId="5F1251B1" w14:textId="77777777" w:rsidR="00BA1863" w:rsidRDefault="00BA1863">
      <w:pPr>
        <w:ind w:firstLine="720"/>
        <w:jc w:val="both"/>
      </w:pPr>
      <w:r>
        <w:t>• выдать документы против акцепта тратты — документы против акцепта</w:t>
      </w:r>
      <w:r>
        <w:rPr>
          <w:lang w:val="en-US"/>
        </w:rPr>
        <w:t xml:space="preserve"> (D/A</w:t>
      </w:r>
      <w:r>
        <w:t xml:space="preserve"> —</w:t>
      </w:r>
      <w:r>
        <w:rPr>
          <w:lang w:val="en-US"/>
        </w:rPr>
        <w:t xml:space="preserve"> documents against acceptance).</w:t>
      </w:r>
      <w:r>
        <w:t xml:space="preserve"> </w:t>
      </w:r>
    </w:p>
    <w:p w14:paraId="5CD4CDAA" w14:textId="77777777" w:rsidR="00BA1863" w:rsidRDefault="00BA1863">
      <w:pPr>
        <w:pStyle w:val="a3"/>
        <w:spacing w:line="240" w:lineRule="auto"/>
      </w:pPr>
      <w:r>
        <w:t>• выдать документы без оплаты. В этом случае экспортер стремится получить гарантию банка в обеспечении платежей. Инкассовая форма расчетов выгодна импортерам, поскольку она подразумевает оплату действительно поставленного товара, а расходы по проведению инкассовой операции относительно невелики. В определенной степени инкассовая форма расчетов выгодна и экспортеру, поскольку банки защищают его право на товар до момента оплаты документов или акцепта тратт (если экспортер не дал инструкции о выдаче коммерческих документов без оплаты). В то же время при инкассовой форме расчетов экспортер несет риск, связанный с возможным отказом импортера от платежа, который повышается при снижении спроса, поэтому экспортер может понести убытки, которые складываются из произведенных транспортных расходов и затрат на возвращение товара; из затрат на хранение товара после отказа импортера выкупить его; из потерь от продажи товара на менее выгодных условиях третьему лицу, так как новый покупатель может воспользоваться затруднительным положением экспортера. Выручка за товары может быть также получена с опозданием из-за разрыва во времени между отгрузкой товара и получением денег. С учетом этого при инкассовой форме расчетов особое значение имеют: доверие экспортера к платежеспособности и добросовестности импортера; четкое определение в контракте обязательств продавца и покупателя; отгрузка товара в соответствии с условиями сделки; передача покупателю товарных документов только после платежа или акцепта тратты.</w:t>
      </w:r>
    </w:p>
    <w:p w14:paraId="6AE2CED8" w14:textId="1EA20C87" w:rsidR="00BA1863" w:rsidRDefault="00BA1863">
      <w:pPr>
        <w:ind w:firstLine="720"/>
        <w:jc w:val="both"/>
      </w:pPr>
      <w:bookmarkStart w:id="1" w:name="_GoBack"/>
      <w:bookmarkEnd w:id="1"/>
    </w:p>
    <w:sectPr w:rsidR="00BA1863">
      <w:type w:val="continuous"/>
      <w:pgSz w:w="11900" w:h="16820"/>
      <w:pgMar w:top="1134" w:right="567" w:bottom="85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na Kosygina" w:date="2011-10-15T13:11:00Z" w:initials="AK">
    <w:p w14:paraId="1A261760" w14:textId="77777777" w:rsidR="00BA1863" w:rsidRDefault="00BA1863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2617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470A7" w14:textId="77777777" w:rsidR="00BA1863" w:rsidRDefault="00BA1863">
      <w:r>
        <w:separator/>
      </w:r>
    </w:p>
  </w:endnote>
  <w:endnote w:type="continuationSeparator" w:id="0">
    <w:p w14:paraId="0A6C09A6" w14:textId="77777777" w:rsidR="00BA1863" w:rsidRDefault="00B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F28AC" w14:textId="77777777" w:rsidR="00BA1863" w:rsidRDefault="00BA1863">
      <w:r>
        <w:separator/>
      </w:r>
    </w:p>
  </w:footnote>
  <w:footnote w:type="continuationSeparator" w:id="0">
    <w:p w14:paraId="448D91D8" w14:textId="77777777" w:rsidR="00BA1863" w:rsidRDefault="00BA1863">
      <w:r>
        <w:continuationSeparator/>
      </w:r>
    </w:p>
  </w:footnote>
  <w:footnote w:id="1">
    <w:p w14:paraId="0ACD8150" w14:textId="77777777" w:rsidR="00BA1863" w:rsidRDefault="00BA1863">
      <w:pPr>
        <w:pStyle w:val="a6"/>
      </w:pPr>
      <w:r>
        <w:rPr>
          <w:rStyle w:val="a5"/>
        </w:rPr>
        <w:footnoteRef/>
      </w:r>
      <w:r>
        <w:t xml:space="preserve"> "Подмастерья". "Эксперт"№15, 1999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9B6"/>
    <w:multiLevelType w:val="singleLevel"/>
    <w:tmpl w:val="9EA0118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3D65B10"/>
    <w:multiLevelType w:val="singleLevel"/>
    <w:tmpl w:val="58BA39E6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</w:abstractNum>
  <w:abstractNum w:abstractNumId="2">
    <w:nsid w:val="13892AE5"/>
    <w:multiLevelType w:val="singleLevel"/>
    <w:tmpl w:val="58BA39E6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</w:abstractNum>
  <w:abstractNum w:abstractNumId="3">
    <w:nsid w:val="1C256B7A"/>
    <w:multiLevelType w:val="singleLevel"/>
    <w:tmpl w:val="5FB291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A27B7B"/>
    <w:multiLevelType w:val="singleLevel"/>
    <w:tmpl w:val="BF1C342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5">
    <w:nsid w:val="1F774192"/>
    <w:multiLevelType w:val="singleLevel"/>
    <w:tmpl w:val="9EA0118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CB473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7C21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99269D"/>
    <w:multiLevelType w:val="singleLevel"/>
    <w:tmpl w:val="20BAC10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73603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64B1D68"/>
    <w:multiLevelType w:val="singleLevel"/>
    <w:tmpl w:val="20BAC10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5F8"/>
    <w:rsid w:val="003028CC"/>
    <w:rsid w:val="00344732"/>
    <w:rsid w:val="00BA1863"/>
    <w:rsid w:val="00F5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70F14"/>
  <w15:chartTrackingRefBased/>
  <w15:docId w15:val="{82080D71-DA3F-4073-AEF6-CBA2184F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pPr>
      <w:spacing w:line="360" w:lineRule="auto"/>
      <w:ind w:firstLine="720"/>
      <w:jc w:val="both"/>
    </w:pPr>
  </w:style>
  <w:style w:type="paragraph" w:customStyle="1" w:styleId="FR3">
    <w:name w:val="FR3"/>
    <w:pPr>
      <w:widowControl w:val="0"/>
      <w:ind w:left="3280"/>
      <w:jc w:val="both"/>
    </w:pPr>
    <w:rPr>
      <w:rFonts w:ascii="Arial Narrow" w:hAnsi="Arial Narrow"/>
      <w:sz w:val="16"/>
    </w:rPr>
  </w:style>
  <w:style w:type="paragraph" w:styleId="a4">
    <w:name w:val="Body Text Indent"/>
    <w:basedOn w:val="a"/>
    <w:semiHidden/>
    <w:pPr>
      <w:ind w:firstLine="851"/>
      <w:jc w:val="both"/>
    </w:pPr>
    <w:rPr>
      <w:rFonts w:ascii="Times New Roman" w:hAnsi="Times New Roman"/>
      <w:sz w:val="28"/>
    </w:rPr>
  </w:style>
  <w:style w:type="paragraph" w:styleId="2">
    <w:name w:val="Body Text Indent 2"/>
    <w:basedOn w:val="a"/>
    <w:semiHidden/>
    <w:pPr>
      <w:ind w:firstLine="851"/>
      <w:jc w:val="both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footnote text"/>
    <w:basedOn w:val="a"/>
    <w:semiHidden/>
    <w:rPr>
      <w:rFonts w:ascii="Times New Roman" w:hAnsi="Times New Roman"/>
      <w:sz w:val="20"/>
    </w:rPr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  <w:rPr>
      <w:rFonts w:ascii="Times New Roman" w:hAnsi="Times New Roman"/>
      <w:sz w:val="20"/>
    </w:rPr>
  </w:style>
  <w:style w:type="paragraph" w:styleId="3">
    <w:name w:val="Body Text Indent 3"/>
    <w:basedOn w:val="a"/>
    <w:semiHidden/>
    <w:pPr>
      <w:ind w:left="72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545F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54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Infra</Company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Ahpatelov</dc:creator>
  <cp:keywords/>
  <cp:lastModifiedBy>Irina</cp:lastModifiedBy>
  <cp:revision>2</cp:revision>
  <cp:lastPrinted>2000-03-20T14:27:00Z</cp:lastPrinted>
  <dcterms:created xsi:type="dcterms:W3CDTF">2014-09-24T12:20:00Z</dcterms:created>
  <dcterms:modified xsi:type="dcterms:W3CDTF">2014-09-24T12:20:00Z</dcterms:modified>
</cp:coreProperties>
</file>