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51C1E" w:rsidRDefault="00651C1E">
      <w:pPr>
        <w:pageBreakBefore/>
        <w:spacing w:line="360" w:lineRule="auto"/>
        <w:ind w:firstLine="567"/>
        <w:jc w:val="center"/>
        <w:rPr>
          <w:rFonts w:ascii="Times New Roman" w:hAnsi="Times New Roman"/>
          <w:sz w:val="28"/>
          <w:szCs w:val="28"/>
        </w:rPr>
      </w:pPr>
    </w:p>
    <w:p w:rsidR="00651C1E" w:rsidRDefault="00651C1E">
      <w:pPr>
        <w:pageBreakBefore/>
        <w:spacing w:line="360" w:lineRule="auto"/>
        <w:ind w:firstLine="567"/>
        <w:jc w:val="center"/>
        <w:rPr>
          <w:rFonts w:ascii="Times New Roman" w:hAnsi="Times New Roman"/>
          <w:sz w:val="28"/>
          <w:szCs w:val="28"/>
        </w:rPr>
      </w:pPr>
      <w:r>
        <w:rPr>
          <w:rFonts w:ascii="Times New Roman" w:hAnsi="Times New Roman"/>
          <w:sz w:val="28"/>
          <w:szCs w:val="28"/>
        </w:rPr>
        <w:t>Министерство образования и науки РФ</w:t>
      </w:r>
    </w:p>
    <w:p w:rsidR="00651C1E" w:rsidRDefault="00651C1E">
      <w:pPr>
        <w:spacing w:line="360" w:lineRule="auto"/>
        <w:ind w:firstLine="567"/>
        <w:jc w:val="center"/>
        <w:rPr>
          <w:rFonts w:ascii="Times New Roman" w:hAnsi="Times New Roman"/>
          <w:sz w:val="28"/>
          <w:szCs w:val="28"/>
        </w:rPr>
      </w:pPr>
      <w:r>
        <w:rPr>
          <w:rFonts w:ascii="Times New Roman" w:hAnsi="Times New Roman"/>
          <w:sz w:val="28"/>
          <w:szCs w:val="28"/>
        </w:rPr>
        <w:t>Федеральное агентство по образованию</w:t>
      </w:r>
    </w:p>
    <w:p w:rsidR="00651C1E" w:rsidRDefault="00651C1E">
      <w:pPr>
        <w:spacing w:line="360" w:lineRule="auto"/>
        <w:ind w:firstLine="567"/>
        <w:jc w:val="center"/>
        <w:rPr>
          <w:rFonts w:ascii="Times New Roman" w:hAnsi="Times New Roman"/>
          <w:sz w:val="28"/>
          <w:szCs w:val="28"/>
        </w:rPr>
      </w:pPr>
      <w:r>
        <w:rPr>
          <w:rFonts w:ascii="Times New Roman" w:hAnsi="Times New Roman"/>
          <w:sz w:val="28"/>
          <w:szCs w:val="28"/>
        </w:rPr>
        <w:t xml:space="preserve">Государственное образовательное учреждение высшего </w:t>
      </w:r>
    </w:p>
    <w:p w:rsidR="00651C1E" w:rsidRDefault="00651C1E">
      <w:pPr>
        <w:spacing w:line="360" w:lineRule="auto"/>
        <w:ind w:firstLine="567"/>
        <w:jc w:val="center"/>
        <w:rPr>
          <w:rFonts w:ascii="Times New Roman" w:hAnsi="Times New Roman"/>
          <w:sz w:val="28"/>
          <w:szCs w:val="28"/>
        </w:rPr>
      </w:pPr>
      <w:r>
        <w:rPr>
          <w:rFonts w:ascii="Times New Roman" w:hAnsi="Times New Roman"/>
          <w:sz w:val="28"/>
          <w:szCs w:val="28"/>
        </w:rPr>
        <w:t>профессионального образования</w:t>
      </w:r>
    </w:p>
    <w:p w:rsidR="00651C1E" w:rsidRDefault="00651C1E">
      <w:pPr>
        <w:spacing w:line="360" w:lineRule="auto"/>
        <w:ind w:firstLine="567"/>
        <w:jc w:val="center"/>
        <w:rPr>
          <w:rFonts w:ascii="Times New Roman" w:hAnsi="Times New Roman"/>
          <w:sz w:val="28"/>
          <w:szCs w:val="28"/>
        </w:rPr>
      </w:pPr>
      <w:r>
        <w:rPr>
          <w:rFonts w:ascii="Times New Roman" w:hAnsi="Times New Roman"/>
          <w:sz w:val="28"/>
          <w:szCs w:val="28"/>
        </w:rPr>
        <w:t>Московский Государственный Университет Пищевых Производств</w:t>
      </w:r>
    </w:p>
    <w:p w:rsidR="00651C1E" w:rsidRDefault="00651C1E">
      <w:pPr>
        <w:spacing w:line="360" w:lineRule="auto"/>
        <w:ind w:firstLine="567"/>
        <w:jc w:val="center"/>
        <w:rPr>
          <w:rFonts w:ascii="Times New Roman" w:hAnsi="Times New Roman"/>
          <w:sz w:val="28"/>
          <w:szCs w:val="28"/>
        </w:rPr>
      </w:pPr>
    </w:p>
    <w:p w:rsidR="00651C1E" w:rsidRDefault="00651C1E">
      <w:pPr>
        <w:spacing w:line="360" w:lineRule="auto"/>
        <w:ind w:firstLine="567"/>
        <w:jc w:val="center"/>
        <w:rPr>
          <w:rFonts w:ascii="Times New Roman" w:hAnsi="Times New Roman"/>
          <w:b/>
          <w:bCs/>
          <w:sz w:val="28"/>
          <w:szCs w:val="28"/>
        </w:rPr>
      </w:pPr>
    </w:p>
    <w:p w:rsidR="00651C1E" w:rsidRDefault="00651C1E">
      <w:pPr>
        <w:spacing w:line="360" w:lineRule="auto"/>
        <w:ind w:firstLine="567"/>
        <w:jc w:val="center"/>
        <w:rPr>
          <w:rFonts w:ascii="Times New Roman" w:hAnsi="Times New Roman"/>
          <w:sz w:val="28"/>
          <w:szCs w:val="28"/>
        </w:rPr>
      </w:pPr>
    </w:p>
    <w:p w:rsidR="00651C1E" w:rsidRDefault="00651C1E">
      <w:pPr>
        <w:jc w:val="center"/>
      </w:pPr>
    </w:p>
    <w:p w:rsidR="00651C1E" w:rsidRDefault="00651C1E">
      <w:pPr>
        <w:jc w:val="center"/>
      </w:pPr>
    </w:p>
    <w:p w:rsidR="00651C1E" w:rsidRDefault="00651C1E">
      <w:pPr>
        <w:jc w:val="center"/>
        <w:rPr>
          <w:rFonts w:ascii="Times New Roman" w:hAnsi="Times New Roman"/>
          <w:sz w:val="44"/>
          <w:szCs w:val="44"/>
        </w:rPr>
      </w:pPr>
    </w:p>
    <w:p w:rsidR="00651C1E" w:rsidRDefault="00651C1E">
      <w:pPr>
        <w:spacing w:line="360" w:lineRule="auto"/>
        <w:jc w:val="center"/>
        <w:rPr>
          <w:rFonts w:ascii="Times New Roman" w:eastAsia="Arial CYR" w:hAnsi="Times New Roman" w:cs="Arial CYR"/>
          <w:b/>
          <w:bCs/>
          <w:sz w:val="40"/>
          <w:szCs w:val="40"/>
        </w:rPr>
      </w:pPr>
      <w:r>
        <w:rPr>
          <w:rFonts w:ascii="Times New Roman" w:eastAsia="Arial CYR" w:hAnsi="Times New Roman" w:cs="Arial CYR"/>
          <w:b/>
          <w:bCs/>
          <w:sz w:val="40"/>
          <w:szCs w:val="40"/>
        </w:rPr>
        <w:t xml:space="preserve">Вексельный рынок в России. </w:t>
      </w:r>
    </w:p>
    <w:p w:rsidR="00651C1E" w:rsidRDefault="00651C1E">
      <w:pPr>
        <w:spacing w:line="360" w:lineRule="auto"/>
        <w:jc w:val="center"/>
        <w:rPr>
          <w:rFonts w:ascii="Times New Roman" w:eastAsia="Arial CYR" w:hAnsi="Times New Roman" w:cs="Arial CYR"/>
          <w:b/>
          <w:bCs/>
          <w:sz w:val="40"/>
          <w:szCs w:val="40"/>
        </w:rPr>
      </w:pPr>
      <w:r>
        <w:rPr>
          <w:rFonts w:ascii="Times New Roman" w:eastAsia="Arial CYR" w:hAnsi="Times New Roman" w:cs="Arial CYR"/>
          <w:b/>
          <w:bCs/>
          <w:sz w:val="40"/>
          <w:szCs w:val="40"/>
        </w:rPr>
        <w:t>Современное состояние, проблемы и перспективы развития</w:t>
      </w:r>
    </w:p>
    <w:p w:rsidR="00651C1E" w:rsidRDefault="00651C1E">
      <w:pPr>
        <w:spacing w:line="360" w:lineRule="auto"/>
        <w:jc w:val="center"/>
        <w:rPr>
          <w:rFonts w:ascii="Times New Roman" w:eastAsia="Arial CYR" w:hAnsi="Times New Roman" w:cs="Arial CYR"/>
          <w:b/>
          <w:bCs/>
          <w:sz w:val="40"/>
          <w:szCs w:val="40"/>
        </w:rPr>
      </w:pPr>
    </w:p>
    <w:p w:rsidR="00651C1E" w:rsidRDefault="00651C1E">
      <w:pPr>
        <w:jc w:val="center"/>
        <w:rPr>
          <w:b/>
          <w:bCs/>
          <w:sz w:val="40"/>
          <w:szCs w:val="40"/>
        </w:rPr>
      </w:pPr>
    </w:p>
    <w:p w:rsidR="00651C1E" w:rsidRDefault="00651C1E">
      <w:pPr>
        <w:jc w:val="center"/>
      </w:pPr>
    </w:p>
    <w:p w:rsidR="00651C1E" w:rsidRDefault="00651C1E">
      <w:pPr>
        <w:jc w:val="center"/>
      </w:pPr>
    </w:p>
    <w:p w:rsidR="00651C1E" w:rsidRDefault="00651C1E">
      <w:pPr>
        <w:jc w:val="center"/>
      </w:pPr>
    </w:p>
    <w:p w:rsidR="00651C1E" w:rsidRDefault="00651C1E">
      <w:pPr>
        <w:jc w:val="center"/>
      </w:pPr>
    </w:p>
    <w:p w:rsidR="00651C1E" w:rsidRDefault="00651C1E">
      <w:pPr>
        <w:jc w:val="center"/>
      </w:pPr>
    </w:p>
    <w:p w:rsidR="00651C1E" w:rsidRDefault="00651C1E">
      <w:pPr>
        <w:jc w:val="center"/>
      </w:pPr>
    </w:p>
    <w:p w:rsidR="00651C1E" w:rsidRDefault="00651C1E">
      <w:pPr>
        <w:jc w:val="center"/>
      </w:pPr>
    </w:p>
    <w:p w:rsidR="00651C1E" w:rsidRDefault="00651C1E">
      <w:pPr>
        <w:jc w:val="center"/>
      </w:pPr>
    </w:p>
    <w:p w:rsidR="00651C1E" w:rsidRDefault="00651C1E">
      <w:pPr>
        <w:jc w:val="center"/>
      </w:pPr>
    </w:p>
    <w:p w:rsidR="00651C1E" w:rsidRDefault="00651C1E">
      <w:pPr>
        <w:jc w:val="center"/>
      </w:pPr>
    </w:p>
    <w:p w:rsidR="00651C1E" w:rsidRDefault="00651C1E">
      <w:pPr>
        <w:jc w:val="center"/>
      </w:pPr>
    </w:p>
    <w:p w:rsidR="00651C1E" w:rsidRDefault="00651C1E">
      <w:pPr>
        <w:jc w:val="center"/>
      </w:pPr>
    </w:p>
    <w:p w:rsidR="00651C1E" w:rsidRDefault="00651C1E">
      <w:pPr>
        <w:jc w:val="center"/>
        <w:rPr>
          <w:rFonts w:ascii="Times New Roman" w:hAnsi="Times New Roman"/>
          <w:sz w:val="28"/>
          <w:szCs w:val="28"/>
        </w:rPr>
      </w:pPr>
    </w:p>
    <w:p w:rsidR="00651C1E" w:rsidRDefault="00651C1E">
      <w:pPr>
        <w:jc w:val="center"/>
        <w:rPr>
          <w:rFonts w:ascii="Times New Roman" w:hAnsi="Times New Roman"/>
          <w:sz w:val="28"/>
          <w:szCs w:val="28"/>
        </w:rPr>
      </w:pPr>
      <w:r>
        <w:rPr>
          <w:rFonts w:ascii="Times New Roman" w:hAnsi="Times New Roman"/>
          <w:sz w:val="28"/>
          <w:szCs w:val="28"/>
        </w:rPr>
        <w:t xml:space="preserve">                                                                          Студентка: Хроленко Н.А.</w:t>
      </w:r>
    </w:p>
    <w:p w:rsidR="00651C1E" w:rsidRDefault="00651C1E">
      <w:pPr>
        <w:jc w:val="center"/>
        <w:rPr>
          <w:rFonts w:ascii="Times New Roman" w:hAnsi="Times New Roman"/>
          <w:sz w:val="28"/>
          <w:szCs w:val="28"/>
        </w:rPr>
      </w:pPr>
      <w:r>
        <w:rPr>
          <w:rFonts w:ascii="Times New Roman" w:hAnsi="Times New Roman"/>
          <w:sz w:val="28"/>
          <w:szCs w:val="28"/>
        </w:rPr>
        <w:t xml:space="preserve">                                                         Группа: 06-Э-20</w:t>
      </w:r>
    </w:p>
    <w:p w:rsidR="00651C1E" w:rsidRDefault="00651C1E">
      <w:pPr>
        <w:jc w:val="center"/>
        <w:rPr>
          <w:rFonts w:ascii="Times New Roman" w:hAnsi="Times New Roman"/>
          <w:sz w:val="28"/>
          <w:szCs w:val="28"/>
        </w:rPr>
      </w:pPr>
      <w:r>
        <w:rPr>
          <w:rFonts w:ascii="Times New Roman" w:hAnsi="Times New Roman"/>
          <w:sz w:val="28"/>
          <w:szCs w:val="28"/>
        </w:rPr>
        <w:t xml:space="preserve">                                                                                   Преподаватель: Толкачева С. В.</w:t>
      </w:r>
    </w:p>
    <w:p w:rsidR="00651C1E" w:rsidRDefault="00651C1E">
      <w:pPr>
        <w:jc w:val="center"/>
        <w:rPr>
          <w:rFonts w:ascii="Times New Roman" w:hAnsi="Times New Roman"/>
          <w:sz w:val="28"/>
          <w:szCs w:val="28"/>
        </w:rPr>
      </w:pPr>
    </w:p>
    <w:p w:rsidR="00651C1E" w:rsidRDefault="00651C1E">
      <w:pPr>
        <w:jc w:val="center"/>
        <w:rPr>
          <w:rFonts w:ascii="Times New Roman" w:hAnsi="Times New Roman"/>
          <w:sz w:val="28"/>
          <w:szCs w:val="28"/>
        </w:rPr>
      </w:pPr>
    </w:p>
    <w:p w:rsidR="00651C1E" w:rsidRDefault="00651C1E">
      <w:pPr>
        <w:jc w:val="center"/>
        <w:rPr>
          <w:rFonts w:ascii="Times New Roman" w:hAnsi="Times New Roman"/>
          <w:sz w:val="28"/>
          <w:szCs w:val="28"/>
        </w:rPr>
      </w:pPr>
    </w:p>
    <w:p w:rsidR="00651C1E" w:rsidRDefault="00651C1E">
      <w:pPr>
        <w:jc w:val="center"/>
        <w:rPr>
          <w:rFonts w:ascii="Times New Roman" w:hAnsi="Times New Roman"/>
          <w:sz w:val="28"/>
          <w:szCs w:val="28"/>
        </w:rPr>
      </w:pPr>
    </w:p>
    <w:p w:rsidR="00651C1E" w:rsidRDefault="00651C1E">
      <w:pPr>
        <w:jc w:val="center"/>
        <w:rPr>
          <w:rFonts w:ascii="Times New Roman" w:hAnsi="Times New Roman"/>
          <w:sz w:val="28"/>
          <w:szCs w:val="28"/>
        </w:rPr>
      </w:pPr>
    </w:p>
    <w:p w:rsidR="00651C1E" w:rsidRDefault="00651C1E">
      <w:pPr>
        <w:jc w:val="center"/>
        <w:rPr>
          <w:rFonts w:ascii="Times New Roman" w:hAnsi="Times New Roman"/>
          <w:sz w:val="28"/>
          <w:szCs w:val="28"/>
        </w:rPr>
      </w:pPr>
      <w:r>
        <w:rPr>
          <w:rFonts w:ascii="Times New Roman" w:hAnsi="Times New Roman"/>
          <w:sz w:val="28"/>
          <w:szCs w:val="28"/>
        </w:rPr>
        <w:t>Москва</w:t>
      </w:r>
    </w:p>
    <w:p w:rsidR="00651C1E" w:rsidRDefault="00651C1E">
      <w:pPr>
        <w:spacing w:line="360" w:lineRule="auto"/>
        <w:jc w:val="center"/>
        <w:rPr>
          <w:rFonts w:ascii="Times New Roman" w:eastAsia="Arial CYR" w:hAnsi="Times New Roman" w:cs="Arial CYR"/>
          <w:sz w:val="28"/>
          <w:szCs w:val="28"/>
        </w:rPr>
      </w:pPr>
      <w:r>
        <w:rPr>
          <w:rFonts w:ascii="Times New Roman" w:eastAsia="Arial CYR" w:hAnsi="Times New Roman" w:cs="Arial CYR"/>
          <w:sz w:val="28"/>
          <w:szCs w:val="28"/>
        </w:rPr>
        <w:t>2010 год</w:t>
      </w:r>
    </w:p>
    <w:p w:rsidR="00651C1E" w:rsidRDefault="00651C1E">
      <w:pPr>
        <w:spacing w:line="360" w:lineRule="auto"/>
        <w:jc w:val="center"/>
        <w:rPr>
          <w:rFonts w:ascii="Times New Roman" w:eastAsia="Arial CYR" w:hAnsi="Times New Roman" w:cs="Arial CYR"/>
          <w:sz w:val="40"/>
          <w:szCs w:val="40"/>
        </w:rPr>
      </w:pPr>
      <w:r>
        <w:rPr>
          <w:rFonts w:ascii="Times New Roman" w:eastAsia="Arial CYR" w:hAnsi="Times New Roman" w:cs="Arial CYR"/>
          <w:sz w:val="40"/>
          <w:szCs w:val="40"/>
        </w:rPr>
        <w:t>Содержание:</w:t>
      </w:r>
    </w:p>
    <w:p w:rsidR="00651C1E" w:rsidRDefault="00651C1E">
      <w:pPr>
        <w:numPr>
          <w:ilvl w:val="0"/>
          <w:numId w:val="28"/>
        </w:numPr>
        <w:tabs>
          <w:tab w:val="left" w:pos="720"/>
        </w:tabs>
        <w:spacing w:line="360" w:lineRule="auto"/>
        <w:jc w:val="both"/>
        <w:rPr>
          <w:rFonts w:ascii="Times New Roman" w:eastAsia="Arial CYR" w:hAnsi="Times New Roman" w:cs="Arial CYR"/>
          <w:sz w:val="28"/>
          <w:szCs w:val="34"/>
        </w:rPr>
      </w:pPr>
      <w:r>
        <w:rPr>
          <w:rFonts w:ascii="Times New Roman" w:eastAsia="Arial CYR" w:hAnsi="Times New Roman" w:cs="Arial CYR"/>
          <w:sz w:val="28"/>
          <w:szCs w:val="34"/>
        </w:rPr>
        <w:t>Вексель. Понятие и основные черты................................................1-2</w:t>
      </w:r>
    </w:p>
    <w:p w:rsidR="00651C1E" w:rsidRDefault="00651C1E">
      <w:pPr>
        <w:numPr>
          <w:ilvl w:val="0"/>
          <w:numId w:val="28"/>
        </w:numPr>
        <w:tabs>
          <w:tab w:val="left" w:pos="720"/>
        </w:tabs>
        <w:spacing w:line="360" w:lineRule="auto"/>
        <w:jc w:val="both"/>
        <w:rPr>
          <w:rFonts w:ascii="Times New Roman" w:eastAsia="Arial CYR" w:hAnsi="Times New Roman" w:cs="Arial CYR"/>
          <w:sz w:val="28"/>
          <w:szCs w:val="34"/>
        </w:rPr>
      </w:pPr>
      <w:r>
        <w:rPr>
          <w:rFonts w:ascii="Times New Roman" w:eastAsia="Arial CYR" w:hAnsi="Times New Roman" w:cs="Arial CYR"/>
          <w:sz w:val="28"/>
          <w:szCs w:val="34"/>
        </w:rPr>
        <w:t>Виды векселей.....................................................................................2-4</w:t>
      </w:r>
    </w:p>
    <w:p w:rsidR="00651C1E" w:rsidRDefault="00651C1E">
      <w:pPr>
        <w:numPr>
          <w:ilvl w:val="0"/>
          <w:numId w:val="28"/>
        </w:numPr>
        <w:tabs>
          <w:tab w:val="left" w:pos="720"/>
        </w:tabs>
        <w:spacing w:line="360" w:lineRule="auto"/>
        <w:jc w:val="both"/>
        <w:rPr>
          <w:rFonts w:ascii="Times New Roman" w:eastAsia="Arial CYR" w:hAnsi="Times New Roman" w:cs="Arial CYR"/>
          <w:sz w:val="28"/>
          <w:szCs w:val="28"/>
        </w:rPr>
      </w:pPr>
      <w:r>
        <w:rPr>
          <w:rFonts w:ascii="Times New Roman" w:eastAsia="Arial CYR" w:hAnsi="Times New Roman" w:cs="Arial CYR"/>
          <w:sz w:val="28"/>
          <w:szCs w:val="28"/>
        </w:rPr>
        <w:t>Современное состояние вексельного рынка и проблемы его развития...............................................................................................5-14</w:t>
      </w:r>
    </w:p>
    <w:p w:rsidR="00651C1E" w:rsidRDefault="00651C1E">
      <w:pPr>
        <w:numPr>
          <w:ilvl w:val="0"/>
          <w:numId w:val="28"/>
        </w:numPr>
        <w:tabs>
          <w:tab w:val="left" w:pos="720"/>
        </w:tabs>
        <w:spacing w:line="360" w:lineRule="auto"/>
        <w:jc w:val="both"/>
        <w:rPr>
          <w:rFonts w:ascii="Times New Roman" w:eastAsia="Arial CYR" w:hAnsi="Times New Roman" w:cs="Arial CYR"/>
          <w:sz w:val="28"/>
          <w:szCs w:val="28"/>
        </w:rPr>
      </w:pPr>
      <w:r>
        <w:rPr>
          <w:rFonts w:ascii="Times New Roman" w:eastAsia="Arial CYR" w:hAnsi="Times New Roman" w:cs="Arial CYR"/>
          <w:sz w:val="28"/>
          <w:szCs w:val="28"/>
        </w:rPr>
        <w:t>Перспективы развития......................................................................14-15</w:t>
      </w:r>
    </w:p>
    <w:p w:rsidR="00651C1E" w:rsidRDefault="00651C1E">
      <w:pPr>
        <w:numPr>
          <w:ilvl w:val="0"/>
          <w:numId w:val="28"/>
        </w:numPr>
        <w:tabs>
          <w:tab w:val="left" w:pos="720"/>
        </w:tabs>
        <w:spacing w:line="360" w:lineRule="auto"/>
        <w:jc w:val="both"/>
        <w:rPr>
          <w:rFonts w:ascii="Times New Roman" w:eastAsia="Arial CYR" w:hAnsi="Times New Roman" w:cs="Arial CYR"/>
          <w:sz w:val="28"/>
          <w:szCs w:val="28"/>
        </w:rPr>
      </w:pPr>
      <w:r>
        <w:rPr>
          <w:rFonts w:ascii="Times New Roman" w:eastAsia="Arial CYR" w:hAnsi="Times New Roman" w:cs="Arial CYR"/>
          <w:sz w:val="28"/>
          <w:szCs w:val="28"/>
        </w:rPr>
        <w:t>Список литературы............................................................................16</w:t>
      </w: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sz w:val="28"/>
          <w:szCs w:val="28"/>
        </w:rPr>
      </w:pPr>
    </w:p>
    <w:p w:rsidR="00651C1E" w:rsidRDefault="00651C1E">
      <w:pPr>
        <w:spacing w:line="360" w:lineRule="auto"/>
        <w:jc w:val="both"/>
        <w:rPr>
          <w:rFonts w:ascii="Times New Roman" w:eastAsia="Arial CYR" w:hAnsi="Times New Roman" w:cs="Arial CYR"/>
          <w:b/>
          <w:bCs/>
          <w:sz w:val="28"/>
          <w:szCs w:val="28"/>
        </w:rPr>
      </w:pPr>
      <w:r>
        <w:rPr>
          <w:rFonts w:ascii="Times New Roman" w:eastAsia="Arial CYR" w:hAnsi="Times New Roman" w:cs="Arial CYR"/>
          <w:b/>
          <w:bCs/>
          <w:sz w:val="28"/>
          <w:szCs w:val="28"/>
        </w:rPr>
        <w:t>Вексель. Понятие и основные черты</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Одним из видов ценных бумаг, наиболее часто используемых в российской практике в последнее время, является вексель. </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Вексель - составленное по установленной законом форме безусловное письменное долговое денежное обязательство одной стороны (векселедателя) безоговорочно уплатить в определенном месте сумму денег, указанную в векселе, другой стороне - владельцу векселя (векселедержателю) - при наступлении срока выполнения обязательства (платежа) или по его требованию.</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Вексель дает его владельцу право требовать от должника, или акцептанта, (третьего лица, обязавшегося уплатить по векселю) выплатить указанную в векселе сумму при наступлении срока платежа. Поэтому вексель выступает сложным расчетно-кредитным инструментом, способным выполнять функции как ценной бумаги, так и кредитных денег и средства платежа. В частности, как ценная бумага вексель сам может быть объектом различных сделок. Выпуск и обращение векселей регулируется действующими Основами гражданского законодательства и Федеральным Законом РФ "О Переводном и Простом векселе", принятым Государственной Думой 21 февраля 1997 г.</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Основные черты векселя, сложившиеся в международной и российской практике: </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1) абстрактный характер обязательства, выраженного векселем (текст векселя не должен содержать ссылки на сделку, являющуюся основанием выдачи векселя); бесспорный характер обязательства по векселю, если он является подлинным; безусловный характер обязательства по векселю (вексель содержит простое и ничем не обусловленное предложение или обещание уплатить определенную сумму, и поэтому попытки оговорить платеж наступлением каких-либо условий не имеют юридической силы); </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2) вексель - это всегда денежное обязательство (не может считаться векселем обязательство, по которому уплата долга совершается товаром или оказанием услуг); </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3) вексель - это всегда письменный документ (выпуск векселей в безналичной форме невозможен); </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4) вексель - это документ, имеющий строго установленные обязательные реквизиты. Согласно Международной Конвенции существует восемь обязательных реквизита векселя:</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вексельная метка - то есть слово "вексель" должно содержаться не только в названии, но в текстовом содержании векселя;</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валюта векселя - сумма платежа, которая должна быть указана, как минимум два раза: один раз цифрами, а другой раз прописью с большой буквы;</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сведения о плательщике по данному векселю;</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сведения о лице, в пользу которого совершается платеж;</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указание места платежа;</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указание срока платежа;</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время и место выставления;</w:t>
      </w:r>
    </w:p>
    <w:p w:rsidR="00651C1E" w:rsidRDefault="00651C1E">
      <w:pPr>
        <w:numPr>
          <w:ilvl w:val="0"/>
          <w:numId w:val="25"/>
        </w:numPr>
        <w:tabs>
          <w:tab w:val="left" w:pos="720"/>
          <w:tab w:val="left" w:pos="1080"/>
          <w:tab w:val="left" w:pos="1440"/>
        </w:tabs>
        <w:spacing w:line="360" w:lineRule="auto"/>
        <w:ind w:left="720"/>
        <w:jc w:val="both"/>
        <w:rPr>
          <w:rFonts w:ascii="Times New Roman" w:eastAsia="Arial CYR" w:hAnsi="Times New Roman" w:cs="Arial CYR"/>
          <w:sz w:val="28"/>
          <w:szCs w:val="28"/>
        </w:rPr>
      </w:pPr>
      <w:r>
        <w:rPr>
          <w:rFonts w:ascii="Times New Roman" w:eastAsia="Arial CYR" w:hAnsi="Times New Roman" w:cs="Arial CYR"/>
          <w:sz w:val="28"/>
          <w:szCs w:val="28"/>
        </w:rPr>
        <w:t>собственноручную подпись лица, выставившего вексель. Стороны, обязанные по векселю, несут солидарную ответственность.</w:t>
      </w:r>
    </w:p>
    <w:p w:rsidR="00651C1E" w:rsidRDefault="00651C1E">
      <w:pPr>
        <w:tabs>
          <w:tab w:val="left" w:pos="2160"/>
        </w:tabs>
        <w:spacing w:line="360" w:lineRule="auto"/>
        <w:ind w:left="720"/>
        <w:jc w:val="both"/>
        <w:rPr>
          <w:rFonts w:ascii="Times New Roman" w:eastAsia="Arial CYR" w:hAnsi="Times New Roman" w:cs="Arial CYR"/>
          <w:b/>
          <w:bCs/>
          <w:sz w:val="28"/>
          <w:szCs w:val="28"/>
        </w:rPr>
      </w:pPr>
      <w:r>
        <w:rPr>
          <w:rFonts w:ascii="Times New Roman" w:eastAsia="Arial CYR" w:hAnsi="Times New Roman" w:cs="Arial CYR"/>
          <w:b/>
          <w:bCs/>
          <w:sz w:val="28"/>
          <w:szCs w:val="28"/>
        </w:rPr>
        <w:t>Виды векселей</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В зависимости от критериев классификации различают следующие виды векселей:</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1. Простой (соло-вексель) и переводной вексель (тратта) - отличаются числом участников;</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2. Товарный (коммерческий), финансовый, казначейский - зависят от характера сделки, лежащей в основе векселя;</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3. Бронзовые, дружеские, встречные - в зависимости от обеспечения: обеспеченные и необеспеченные;</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4. Предъявительский и ордерный (обращение по передаточной надписи) - различают по способу передачи.</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u w:val="single"/>
        </w:rPr>
        <w:t>Товарный вексель.</w:t>
      </w:r>
      <w:r>
        <w:rPr>
          <w:rFonts w:ascii="Times New Roman" w:eastAsia="Arial CYR" w:hAnsi="Times New Roman" w:cs="Arial CYR"/>
          <w:sz w:val="28"/>
          <w:szCs w:val="28"/>
        </w:rPr>
        <w:t xml:space="preserve"> В основе денежного обязательства, выраженного данным векселем, лежит товарная сделка, коммерческий кредит, оказываемый продавцом покупателю при реализации товара. В этом качестве вексель может, с одной стороны, выступать как орудие </w:t>
      </w:r>
      <w:bookmarkStart w:id="0" w:name="%2525252525D0%2525252525BE%2525252525D1%"/>
      <w:bookmarkEnd w:id="0"/>
      <w:r>
        <w:rPr>
          <w:rFonts w:ascii="Times New Roman" w:eastAsia="Arial CYR" w:hAnsi="Times New Roman" w:cs="Arial CYR"/>
          <w:sz w:val="28"/>
          <w:szCs w:val="28"/>
        </w:rPr>
        <w:t>кредита, а с другой стороны - выполнять функции расчетного средства, многократно переходя из рук в руки и обслуживая в качестве денежного субститута многочисленные акты купли-продажи товаров.</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u w:val="single"/>
        </w:rPr>
        <w:t>Финансовый вексель.</w:t>
      </w:r>
      <w:r>
        <w:rPr>
          <w:rFonts w:ascii="Times New Roman" w:eastAsia="Arial CYR" w:hAnsi="Times New Roman" w:cs="Arial CYR"/>
          <w:sz w:val="28"/>
          <w:szCs w:val="28"/>
        </w:rPr>
        <w:t xml:space="preserve"> В основе денежного обязательства, выраженного данным видом векселя, лежит какая-либо финансовая операция, не связанная с куплей-продажей товаров. Разновидностью финансового векселя являются "коммерческие бумаги" - простые, обращающиеся векселя на имя эмитента, не имеющие обеспечения, дисконтные или приносящие процент к номиналу, выпускаемые чаще всего на срок от 1 до 270 дней, в форме "на предъявителя".</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u w:val="single"/>
        </w:rPr>
        <w:t>Казначейский вексель</w:t>
      </w:r>
      <w:r>
        <w:rPr>
          <w:rFonts w:ascii="Times New Roman" w:eastAsia="Arial CYR" w:hAnsi="Times New Roman" w:cs="Arial CYR"/>
          <w:sz w:val="28"/>
          <w:szCs w:val="28"/>
        </w:rPr>
        <w:t xml:space="preserve"> - краткосрочная ценная бумага, выпускаемая правительством. </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u w:val="single"/>
        </w:rPr>
        <w:t>Дружеский вексель</w:t>
      </w:r>
      <w:r>
        <w:rPr>
          <w:rFonts w:ascii="Times New Roman" w:eastAsia="Arial CYR" w:hAnsi="Times New Roman" w:cs="Arial CYR"/>
          <w:sz w:val="28"/>
          <w:szCs w:val="28"/>
        </w:rPr>
        <w:t xml:space="preserve"> - это вексель, за которым не стоит никакой реальной сделки, реального финансового обязательства, однако лица, участвующие в векселе, являются реальными. Обычно дружескими векселями встречно обмениваются два реальных лица, находящихся в доверительных отношениях, для того, чтобы затем учесть банке или отдать вексель в залог, получив под него реальные деньги, или чтобы использовать его для совершения платежей. </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u w:val="single"/>
        </w:rPr>
        <w:t>Бронзовый вексель</w:t>
      </w:r>
      <w:r>
        <w:rPr>
          <w:rFonts w:ascii="Times New Roman" w:eastAsia="Arial CYR" w:hAnsi="Times New Roman" w:cs="Arial CYR"/>
          <w:sz w:val="28"/>
          <w:szCs w:val="28"/>
        </w:rPr>
        <w:t xml:space="preserve"> - это вексель, за которым не стоит никакой реальной сделки, никакого реального финансового обязательства, причем хотя бы одно лицо, участвующие в векселе, является вымышленным. Цель бронзового векселя - либо получение под него денег в банке, либо использование фальшивого документа для погашения долгов по реальным товарным сделкам или финансовым обязательствам. </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В </w:t>
      </w:r>
      <w:r>
        <w:rPr>
          <w:rFonts w:ascii="Times New Roman" w:eastAsia="Arial CYR" w:hAnsi="Times New Roman" w:cs="Arial CYR"/>
          <w:sz w:val="28"/>
          <w:szCs w:val="28"/>
          <w:u w:val="single"/>
        </w:rPr>
        <w:t>простом векселе</w:t>
      </w:r>
      <w:r>
        <w:rPr>
          <w:rFonts w:ascii="Times New Roman" w:eastAsia="Arial CYR" w:hAnsi="Times New Roman" w:cs="Arial CYR"/>
          <w:sz w:val="28"/>
          <w:szCs w:val="28"/>
        </w:rPr>
        <w:t xml:space="preserve"> участвуют два лица, из которых плательщиком является векселедатель. Последний, выписывая такой вексель, обязуется в нем уплатить непосредственно своему кредитору (векселедержателю) определенную сумму в определенном месте и в определенный срок.</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В </w:t>
      </w:r>
      <w:r>
        <w:rPr>
          <w:rFonts w:ascii="Times New Roman" w:eastAsia="Arial CYR" w:hAnsi="Times New Roman" w:cs="Arial CYR"/>
          <w:sz w:val="28"/>
          <w:szCs w:val="28"/>
          <w:u w:val="single"/>
        </w:rPr>
        <w:t>переводном векселе</w:t>
      </w:r>
      <w:r>
        <w:rPr>
          <w:rFonts w:ascii="Times New Roman" w:eastAsia="Arial CYR" w:hAnsi="Times New Roman" w:cs="Arial CYR"/>
          <w:sz w:val="28"/>
          <w:szCs w:val="28"/>
        </w:rPr>
        <w:t xml:space="preserve"> участвуют три и более лица. Плательщиком является не векселедатель (трассант), а другое лицо, которое принимает на себя обязательство оплатить такой вексель в срок. Переводной вексель - это фактически письменное предложение векселедателя, обращенное к третьему лицу (плательщику, именуемому трассатом) уплатить обусловленную сумму кредитору (векселедержателю, эмитенту). </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В переводном векселе обязательство трассанта условно, он обязуется уплатить вексельную сумму, если трассат не заплатил ее, в этом случае трассант приравнивается к держателю простого векселя. Переводной вексель не может рассматриваться как обязательство лица векселедателя. Он может стать обязательством плательщика (трассата), но только после совершения им одностороннего акта волеизъявления особой формы - акцепта. Акцептованный вексель - это вексель имеющий согласие плательщика на его оплату. С момента акцепта векселя трассатом последний становится прямым должником. Если трассат акцептует вексель, но не платит по нему, против него возникает протест в неплатеже. Естественно, протест возникает и в случае необоснованного неакцепта. </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Ремитент может поступить с полученным векселем двояко: либо предъявить его к оплате трассату, либо передать свои права в части оплаты векселя другому лицу. Эта операция называется индоссированием (индоссацией) векселя и совершается с помощью индоссамента, особой передаточной надписи на обороте векселя или добавочном листе (аллонже).</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Число индоссаментов на одном векселе не ограничено.</w:t>
      </w:r>
    </w:p>
    <w:p w:rsidR="00651C1E" w:rsidRDefault="00651C1E">
      <w:pPr>
        <w:spacing w:line="360" w:lineRule="auto"/>
        <w:jc w:val="both"/>
        <w:rPr>
          <w:rFonts w:ascii="Times New Roman" w:eastAsia="Arial CYR" w:hAnsi="Times New Roman" w:cs="Arial CYR"/>
          <w:sz w:val="28"/>
          <w:szCs w:val="28"/>
        </w:rPr>
      </w:pPr>
      <w:r>
        <w:rPr>
          <w:rFonts w:ascii="Times New Roman" w:eastAsia="Arial CYR" w:hAnsi="Times New Roman" w:cs="Arial CYR"/>
          <w:sz w:val="28"/>
          <w:szCs w:val="28"/>
        </w:rPr>
        <w:t xml:space="preserve">Виды индоссамента: полный индоссамент; частичный индоссамент; банковский индоссамент; именной индоссамент; оборотный индоссамент; безоборотный индоссамент; индоссамент с оговорками; индоссамент без оговорок; препоручительный индоссамент. </w:t>
      </w:r>
    </w:p>
    <w:p w:rsidR="00651C1E" w:rsidRDefault="00651C1E">
      <w:pPr>
        <w:spacing w:line="360" w:lineRule="auto"/>
        <w:ind w:firstLine="567"/>
        <w:jc w:val="both"/>
        <w:rPr>
          <w:rFonts w:ascii="Times New Roman" w:eastAsia="Arial CYR" w:hAnsi="Times New Roman" w:cs="Arial CYR"/>
          <w:sz w:val="28"/>
          <w:szCs w:val="28"/>
        </w:rPr>
      </w:pPr>
      <w:r>
        <w:rPr>
          <w:rFonts w:ascii="Times New Roman" w:eastAsia="Arial CYR" w:hAnsi="Times New Roman" w:cs="Arial CYR"/>
          <w:sz w:val="28"/>
          <w:szCs w:val="28"/>
        </w:rPr>
        <w:t xml:space="preserve">В целях повышения надежности векселя в обращении на нем ставится подпись специального поручителя, называемая авалем. Причем аваль может касаться как всей суммы долга, так и ее части. Тем самым лицо, совершившее аваль (авалист), принимает на себя ответственность за осуществление платежа, если трассат, трассант или индоссант не смогут это сделать. </w:t>
      </w:r>
    </w:p>
    <w:p w:rsidR="00651C1E" w:rsidRDefault="00651C1E">
      <w:pPr>
        <w:spacing w:line="360" w:lineRule="auto"/>
        <w:ind w:firstLine="567"/>
        <w:jc w:val="both"/>
        <w:rPr>
          <w:rFonts w:ascii="Times New Roman" w:eastAsia="Arial CYR" w:hAnsi="Times New Roman" w:cs="Arial CYR"/>
          <w:sz w:val="28"/>
          <w:szCs w:val="28"/>
        </w:rPr>
      </w:pPr>
    </w:p>
    <w:p w:rsidR="00651C1E" w:rsidRDefault="00651C1E">
      <w:pPr>
        <w:pStyle w:val="a7"/>
        <w:spacing w:line="360" w:lineRule="auto"/>
        <w:jc w:val="center"/>
        <w:rPr>
          <w:rFonts w:ascii="Times New Roman" w:hAnsi="Times New Roman"/>
          <w:b/>
          <w:bCs/>
          <w:sz w:val="28"/>
          <w:szCs w:val="28"/>
        </w:rPr>
      </w:pPr>
      <w:r>
        <w:rPr>
          <w:rFonts w:ascii="Times New Roman" w:hAnsi="Times New Roman"/>
          <w:b/>
          <w:bCs/>
          <w:sz w:val="28"/>
          <w:szCs w:val="28"/>
        </w:rPr>
        <w:t>Современное состояние вексельного рынка и проблемы его развития</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В Конгрессе, организованном Информационным агентством Сибондс и Московской межбанковской валютной биржей при поддержке Ассоциации участников вексельного рынка, приняло участие 72 участника, что намного меньше, чем собирали предыдущие, "докризисные" конгрессы. Вообще следует отметить, что кризис наложил некоторый отпечаток и на тематику выступлений, и на их тональность.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О том, как в целом вексельный рынок пережил и переживает кризис   обсуждалось на Конгрессе. Было отмечено, что за прошедший год вексельный рынок понес серьезные потери: сектор первичных размещений почти не функционировал, активность на вторичном рынке существенно снизилась, спрос со стороны инвесторов сузился до ценных бумаг 5-10 крупнейших банков со сроком обращения не более 3-6 месяцев. По итогам первой половины 2009 года оценка снижения объема векселей в обращении находится на уровне 20% до 400-420 млрд. руб. В условиях дефицита денежных ресурсов сокращение вексельного рынка происходило на фоне роста объемов муниципальных и корпоративных облигаций (24% и 12% соответственно) и относительной стабильности в сегменте госбумаг (-1%), что привело к существенному сокращению векселей на рынке рублёвого долга – до 11% против 20% за последние 2-3 года. На рубеже 2008 – 2009 года изменилась и структура самого вексельного рынка за счет роста доли небанковских векселей. Согласно данным Банка России, объем учтенных банками векселей некредитных организаций к 1 июня 2009 года увеличился до 107 млрд. руб. против 60-70 млрд. руб. на середину 2008 года. Причинами этого явления  являются, во-первых, расширение практики использования векселей в расчетах с поставщиками (векселя "АвтоВАЗа", «Иркутскэнерго», «Уралвагонзавода»), во-вторых, увеличение объемов кредитования Центральным Банком под залог векселей предприятий согласно Положению ЦБ РФ Положения от 12 ноября 2007 г. № 312-П. Однако, эти два фактора не оказали практически никакого влияния на динамику вексельного рынка в целом, которую по-прежнему определяют банковские векселя, имеющие долю, по оценкам, не менее 80–85% от общего объема векселей в обращении. Наиболее крупными векселедателями являются ВТБ (объем выпущенных векселей — более 107,8 млрд. руб.), Сбербанк России (более 103,1 млрд. руб.) и Газпромбанк (более 32,1 млрд. руб.). Во втором квартале на фоне улучшения ситуации на валютном, денежном и фондовом рынках началось оживление и в сегменте векселей. Замедление темпов экономического спада, стабилизация ситуации в банковской системе, а также рост интереса инвесторов к векселям дают определенные надежды участникам этого рынка. Оптимизм связан с перспективой дальнейшего снижения ставки рефинансирования и, соответственно, остальных ставок кредитования Банком России, что может снизить доходность векселей в первую очередь "первого эшелона", а в дальнейшем и "второго". Это, в свою очередь, может привлечь внимание инвесторов к более доходным бумагам "надежных" банков "третьего эшелона" и далее корпоративных заемщиков, к которым, прежде всего, следует отнести компании связи, энергетики и ряда других отраслей: их потребность в привлечении «коротких» денег по-прежнему высока, а вексель остается одним из наиболее удобных и быстрых инструментов краткосрочного заимствования в крупных объемах. Определенные надежды сохраняются и в отношении совершенствования системы кредитования под залог векселей Банком России в соответствии с его Положением от 12 ноября 2007 г. № 312-П «О порядке предоставления Банком России кредитным организациям кредитов, обеспеченных активами».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Банк России действует в качестве кредитора последней инстанции и обеспечивает возможность получения дополнительной ликвидности в Банке России любой финансово устойчивой кредитной организации. Эта работа соответствует опыту Европейского Центрального Банка рефинансирования под нерыночные активы. С 1 января 2007 года нерыночные активы в качестве обеспечения кредитов уже используются 9-ю из 13-ти центральных банков Еврозоны. При этом для оценки кредитных требований используются рейтинги или методики оценки платежеспособности организаций-заемщиков.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Основными критериями для активов являются: </w:t>
      </w:r>
    </w:p>
    <w:p w:rsidR="00651C1E" w:rsidRDefault="00651C1E">
      <w:pPr>
        <w:pStyle w:val="a7"/>
        <w:numPr>
          <w:ilvl w:val="0"/>
          <w:numId w:val="1"/>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соответствие законодательству РФ (для векселей также - стандартам АУВЕР) </w:t>
      </w:r>
    </w:p>
    <w:p w:rsidR="00651C1E" w:rsidRDefault="00651C1E">
      <w:pPr>
        <w:pStyle w:val="a7"/>
        <w:numPr>
          <w:ilvl w:val="0"/>
          <w:numId w:val="2"/>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срок погашения не ранее чем через 60 дней после предполагаемого дня погашения кредита Банка России </w:t>
      </w:r>
    </w:p>
    <w:p w:rsidR="00651C1E" w:rsidRDefault="00651C1E">
      <w:pPr>
        <w:pStyle w:val="a7"/>
        <w:numPr>
          <w:ilvl w:val="0"/>
          <w:numId w:val="3"/>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отсутствие обременения (подтверждается кредитной организацией) </w:t>
      </w:r>
    </w:p>
    <w:p w:rsidR="00651C1E" w:rsidRDefault="00651C1E">
      <w:pPr>
        <w:pStyle w:val="a7"/>
        <w:numPr>
          <w:ilvl w:val="0"/>
          <w:numId w:val="4"/>
        </w:numPr>
        <w:tabs>
          <w:tab w:val="left" w:pos="720"/>
        </w:tabs>
        <w:spacing w:after="0" w:line="360" w:lineRule="auto"/>
        <w:jc w:val="both"/>
        <w:rPr>
          <w:rFonts w:ascii="Times New Roman" w:hAnsi="Times New Roman"/>
          <w:sz w:val="28"/>
          <w:szCs w:val="28"/>
        </w:rPr>
      </w:pPr>
      <w:r>
        <w:rPr>
          <w:rFonts w:ascii="Times New Roman" w:hAnsi="Times New Roman"/>
          <w:sz w:val="28"/>
          <w:szCs w:val="28"/>
        </w:rPr>
        <w:t>номинированы в рублях, USD, евро или фунтах стерлингов</w:t>
      </w:r>
    </w:p>
    <w:p w:rsidR="00651C1E" w:rsidRDefault="00651C1E">
      <w:pPr>
        <w:pStyle w:val="a7"/>
        <w:numPr>
          <w:ilvl w:val="0"/>
          <w:numId w:val="5"/>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I или II категория качества в соответствии с Положением Банка России от 26.03.2004 № 254-П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При этом к I (высшей) категории качества относятся такие активы, по которым вероятность финансовых потерь вследствие неисполнения либо ненадлежащего исполнения заемщиком обязательств по ссуде равна нулю, эта категория характеризуется отсутствием кредитного риска. Во II категорию качества с умеренным кредитным риск классифицируются активы, по которым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одного до 20 процентов. К векселям дополнительно предъявляются требования: </w:t>
      </w:r>
    </w:p>
    <w:p w:rsidR="00651C1E" w:rsidRDefault="00651C1E">
      <w:pPr>
        <w:pStyle w:val="a7"/>
        <w:numPr>
          <w:ilvl w:val="0"/>
          <w:numId w:val="6"/>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все надписи совершены на русском языке </w:t>
      </w:r>
    </w:p>
    <w:p w:rsidR="00651C1E" w:rsidRDefault="00651C1E">
      <w:pPr>
        <w:pStyle w:val="a7"/>
        <w:numPr>
          <w:ilvl w:val="0"/>
          <w:numId w:val="7"/>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является простым </w:t>
      </w:r>
    </w:p>
    <w:p w:rsidR="00651C1E" w:rsidRDefault="00651C1E">
      <w:pPr>
        <w:pStyle w:val="a7"/>
        <w:numPr>
          <w:ilvl w:val="0"/>
          <w:numId w:val="7"/>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имеет срок платежа «по предъявлении», или «по предъявлении, но не ранее», или «на определенный день», или «во столько-то времени от составления» </w:t>
      </w:r>
    </w:p>
    <w:p w:rsidR="00651C1E" w:rsidRDefault="00651C1E">
      <w:pPr>
        <w:pStyle w:val="a7"/>
        <w:numPr>
          <w:ilvl w:val="0"/>
          <w:numId w:val="8"/>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банк-заемщик является собственником векселя (в качестве первого векселедержателя или на основании непрерывного ряда индоссаментов) </w:t>
      </w:r>
    </w:p>
    <w:p w:rsidR="00651C1E" w:rsidRDefault="00651C1E">
      <w:pPr>
        <w:pStyle w:val="a7"/>
        <w:numPr>
          <w:ilvl w:val="0"/>
          <w:numId w:val="9"/>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векселедатель или лицо, солидарно с ним отвечающее за платеж по векселю, отвечает требованиям Банка России, установленным Положением № 312-П </w:t>
      </w:r>
    </w:p>
    <w:p w:rsidR="00651C1E" w:rsidRDefault="00651C1E">
      <w:pPr>
        <w:pStyle w:val="a7"/>
        <w:numPr>
          <w:ilvl w:val="0"/>
          <w:numId w:val="10"/>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если векселедателем или лицом, обязанным по векселю является общество с ограниченной ответственностью и(или) субъект малого предпринимательства - вексельная сумма не менее 2,0 млн. руб.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Освещая основные требования к организациям, обязанным по активам (в том числе векселям): доля взаимного участия организации и банка в уставном капитале не более 20% или организация имеет не более 20% акций банка – заемщика и наоборот, является резидентом РФ, организация не обязательно должна быть включена в Перечень, установленный Банком России. Она может быть и не включена в указанный Перечень, но в этом случае она должна: </w:t>
      </w:r>
    </w:p>
    <w:p w:rsidR="00651C1E" w:rsidRDefault="00651C1E">
      <w:pPr>
        <w:pStyle w:val="a7"/>
        <w:numPr>
          <w:ilvl w:val="0"/>
          <w:numId w:val="11"/>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зарегистрирована в организационно-правовой форме АО или ГУП, а также ООО, может иметь статус малого предприятия при условии отнесения к I категории качества </w:t>
      </w:r>
    </w:p>
    <w:p w:rsidR="00651C1E" w:rsidRDefault="00651C1E">
      <w:pPr>
        <w:pStyle w:val="a7"/>
        <w:numPr>
          <w:ilvl w:val="0"/>
          <w:numId w:val="12"/>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период деятельности – не менее 3 лет с даты гос. регистрации (включая организации, реорганизованные в форме преобразования) или с даты реорганизации (в форме, отличной от преобразования), для организаций, образованных или реорганизованных в соответствии с федеральными законами и (или) нормативными правовыми актами Президента Российской Федерации и (или) Правительства Российской Федерации, период деятельности составляет не менее 1 года с даты государственной регистрации (включая организации, реорганизованные в форме преобразования) или с даты реорганизации (в форме, отличной от преобразования); </w:t>
      </w:r>
    </w:p>
    <w:p w:rsidR="00651C1E" w:rsidRDefault="00651C1E">
      <w:pPr>
        <w:pStyle w:val="a7"/>
        <w:numPr>
          <w:ilvl w:val="0"/>
          <w:numId w:val="13"/>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осуществляет виды эконом. деятельности, относящиеся к разделам A-I ОКВЭД </w:t>
      </w:r>
    </w:p>
    <w:p w:rsidR="00651C1E" w:rsidRDefault="00651C1E">
      <w:pPr>
        <w:pStyle w:val="a7"/>
        <w:numPr>
          <w:ilvl w:val="0"/>
          <w:numId w:val="14"/>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бухгалтерская отчетность и др. информация соответствуют требованиям отдельных нормативных актов Банка России (не применяется для активов I категории качества)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Стоимость векселей, принимаемых в обеспечение кредитов Банка России, корректируется с учетом поправочных коэффициентов от 0,5 до 0,8 в зависимости от категории качества актива и рейтинга организации – векселедателя.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Процентная ставка привязана к ставке рефинансирования и варьируется от 9 до 10 процентов годовых в зависимости от срока кредита (максимально 365 календарных дней).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Кредит под залог векселей в территориальных управлениях ЦБ РФ получить очень-очень сложно, но всё-таки можно. Нужно набраться терпения, тщательно подготовить необходимые документы, а также внимательно отнестись к соответствию предоставляемых векселей Стандартам АУВЕР выдачи, передачи и погашения векселей. Тем не менее, жалобы многих несостоявшихся заёмщиков на строгость установленных правил, сложность и непрозрачность процедуры принятия решения, не подкрепленные конкретными фактами и оказавшиеся таким образом голословными, не нашли отклика у Банка России – Банк России не благотворительная организация. Не нашло поддержки и предложение расширить список активов векселями банков, того же ВТБ, Сбербанка России и других. Рефинансирование (кредитование) кредитных организаций является инструментом денежно-кредитной политики Банка России, одним из принципов которой является способствование более эффективному перераспределению денежных средств в экономике, направлению их на кредитование "реального" сектора, а для поддержания ликвидности банковской системы у ЦБ есть и другие инструменты.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Модель "товарных" векселей в новых условиях – дефицита оборотных средств предприятий, недоступности дорогого банковского кредита, недостаточной кредитоспособности заёмщиков. Речь идет о расширении коммерческого кредита, компенсирующего дефицит банковского кредита. При коммерческом кредите поставщик самостоятельно оценивает риски кредитуемого предприятия, так как, поставляя товар с отсрочкой платежа, он уверен в сбыте конечного товара, а следовательно, и в платежеспособности покупателя. Причем, как правило, коммерческие кредиты складываются в цепочки от поставщика к поставщику, то есть каждый поставщик цепочки делегирует оценку риска продажи конечного продукта покупателю своей продукции (товара, услуги). Предоставляя покупателю коммерческий кредит, поставщик получает от него вексель, который он может передать, в свою очередь, своему поставщику – кредитору. Вексель при этом возникает как результат сделки, подразумевающей движение товара (услуги). Для поставщика использование векселя позволяет: </w:t>
      </w:r>
    </w:p>
    <w:p w:rsidR="00651C1E" w:rsidRDefault="00651C1E">
      <w:pPr>
        <w:pStyle w:val="a7"/>
        <w:numPr>
          <w:ilvl w:val="0"/>
          <w:numId w:val="15"/>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увеличить и ускорить оборот дебиторской задолженности; </w:t>
      </w:r>
    </w:p>
    <w:p w:rsidR="00651C1E" w:rsidRDefault="00651C1E">
      <w:pPr>
        <w:pStyle w:val="a7"/>
        <w:numPr>
          <w:ilvl w:val="0"/>
          <w:numId w:val="16"/>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повысить эффективность расчетов с кредиторами; </w:t>
      </w:r>
    </w:p>
    <w:p w:rsidR="00651C1E" w:rsidRDefault="00651C1E">
      <w:pPr>
        <w:pStyle w:val="a7"/>
        <w:numPr>
          <w:ilvl w:val="0"/>
          <w:numId w:val="17"/>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решить проблемы текущей ликвидности.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Покупатель, выдающий вексель в счет оплаты приобретенных товаров и услуг, снижает свою потребность в использовании банковского кредита и зависимость предприятия от банковских структур, а соответственно, снижает процентную нагрузку на долги предприятия. Если покупатель (он же векселедатель) обеспечивает ликвидность своих векселей, что дает возможность поставщику иметь финансы на время отсрочки, он вправе рассчитывать на изменение условий сделки. Это может быть снижение цены на приобретаемую продукцию, увеличение срока коммерческого кредита либо иные условия, в которых может быть заинтересован покупатель.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Значимым фактором для принятия решения о выпуске векселей является их досрочный выкуп векселедателем у финансовых структур, осуществляющих учет. Это позволяет покупателю получать дополнительный доход (или осуществлять экономию) непосредственно на своей задолженности перед поставщиками.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Функции банка при финансировании коммерческих кредитов заключаются в кредитовании: </w:t>
      </w:r>
    </w:p>
    <w:p w:rsidR="00651C1E" w:rsidRDefault="00651C1E">
      <w:pPr>
        <w:pStyle w:val="a7"/>
        <w:numPr>
          <w:ilvl w:val="0"/>
          <w:numId w:val="18"/>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кооперации отрасли посредством учета векселей отраслеобразующего предприятия; </w:t>
      </w:r>
    </w:p>
    <w:p w:rsidR="00651C1E" w:rsidRDefault="00651C1E">
      <w:pPr>
        <w:pStyle w:val="a7"/>
        <w:numPr>
          <w:ilvl w:val="0"/>
          <w:numId w:val="19"/>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непосредственно векселедателя с целью выполнения им своих обязательств в условиях отсутствия синхронности между платежами и поступлениями.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Операция по финансированию коммерческих кредитов (по учету векселей) не является альтернативой обычному кредитованию, а скорее дополняет его в части кредитования на пополнение оборотных средств предприятий.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При этом: </w:t>
      </w:r>
    </w:p>
    <w:p w:rsidR="00651C1E" w:rsidRDefault="00651C1E">
      <w:pPr>
        <w:pStyle w:val="a7"/>
        <w:numPr>
          <w:ilvl w:val="0"/>
          <w:numId w:val="20"/>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Благодаря финансированию под векселя, выписанные в рамках товарных сделок, осуществляется целевое использование средств. Кредит выдается после товарных поставок. На усмотрение банка могут приниматься к учету векселя, выданные в качестве авансовых платежей, но в рамках определенных контрактов. </w:t>
      </w:r>
    </w:p>
    <w:p w:rsidR="00651C1E" w:rsidRDefault="00651C1E">
      <w:pPr>
        <w:pStyle w:val="a7"/>
        <w:numPr>
          <w:ilvl w:val="0"/>
          <w:numId w:val="21"/>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Риск невозврата кредита распределяется между векселедателем (авалистом) и индоссантами, несущими солидарную ответственность. При этом вместо залога банк имеет возможность обращать взыскание на все имущество всех предприятий, участвующих в расчетах по векселю. </w:t>
      </w:r>
    </w:p>
    <w:p w:rsidR="00651C1E" w:rsidRDefault="00651C1E">
      <w:pPr>
        <w:pStyle w:val="a7"/>
        <w:numPr>
          <w:ilvl w:val="0"/>
          <w:numId w:val="22"/>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Платежи банка при учете векселей, как и возврат сумм при погашении векселей, происходят дискретно, что позволяет банку при ухудшении финансового состояния векселедателя прекратить учет в любой момент по своему усмотрению, а векселедателю проще координировать финансовые потоки с целью своевременного погашения векселей. </w:t>
      </w:r>
    </w:p>
    <w:p w:rsidR="00651C1E" w:rsidRDefault="00651C1E">
      <w:pPr>
        <w:pStyle w:val="a7"/>
        <w:numPr>
          <w:ilvl w:val="0"/>
          <w:numId w:val="23"/>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Если судебные решения по кредитным договорам выносятся в порядке искового производства, то по требованиям, основанным на протесте векселей, действует институт судебного приказа, что не требует серьезной доказательной базы и даже, по усмотрению суда, присутствия сторон. </w:t>
      </w:r>
    </w:p>
    <w:p w:rsidR="00651C1E" w:rsidRDefault="00651C1E">
      <w:pPr>
        <w:pStyle w:val="a7"/>
        <w:numPr>
          <w:ilvl w:val="0"/>
          <w:numId w:val="24"/>
        </w:num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Обслуживание кредита распределяется между поставщиками и покупателем, что позволяет рассматривать сегодняшние процентные ставки по кредитам приемлемыми для бизнеса.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При существующем дефиците кредитных ресурсов банк в состоянии выставить жесткие требования как к векселедателю (авалисту), так и к векселям.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Например: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1. Векселедатель (авалист) относится к первой (второй) группе заемщиков. Рационально сопоставлять параметры векселедателя (авалиста) с требованиями, указанными в Положении Банка России № 312-п.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2. Банк принимает к учету только векселя, выписанные в рамках товарных сделок. Доказательства товарности лежат на векселедержателе (целевое использование средств).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3. Банк принимает к учету векселя, выписанные на срок не менее 3 месяцев или не менее месяца до погашения (ограничения, связанные с планированием банковских операций).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4. Банк принимает к учету векселя, имеющие не менее двух именных индоссаментов (распределение рисков между участниками).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5. Банк принимает к учету только векселя, индоссантом которых являются ОАО «…», ЗАО «…», … и т. д. (целевое использование средств).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6. Банк не принимает к учету векселя, содержащие оговорку «без оборота» или тождественную ей по смыслу (минимизация рисков).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7. Банк принимает к учету только векселя, домицилированные на ОАО «…», ЗАО «…», … и т. д. (целевое использование средств, минимизация рисков, связанных с несвоевременным осуществлением протеста).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Выставляя требования по учету векселей, банк не только осуществляет решение собственных задач, но и оказывает влияние на процессы, происходящие в кредитуемой отрасли.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Связать воедино интересы основных участников вексельного обращения — поставщика, покупателя и банка, — в результате чего на рынке должны появиться новые инструменты, — задача, решением которой могут и должны в текущий период заниматься операторы вексельного рынка. При этом, поскольку источником финансирования был и остается банк, осуществлять эту деятельность целесообразно совместно с банковскими структурами.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Однако, прогнозы участников российского вексельного сообщества о том, что в условиях кризиса активизируются операции с векселями, если и оправдались, то далеко не в тех масштабах, как ожидалось. Если сравнить с ситуацией 90-х годов, когда на рынке насчитывались сотни векселедателей и обращались в массовом порядке векселя администраций регионов и энергосистем, то его сегодняшнее состояние можно назвать «зачаточным». Очевидно, что с помощью векселей решались задачи, несопоставимые с текущими: они замещали существенный дефицит денежных средств в экономике и служили инструментом многоуровневых зачетов.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В «межкризисный» период ориентация рынка векселей в основном сводилась к привлечению средств банками и корпорациями, то есть векселя успешно исполняли роль облигаций. Российский рынок векселей развивался по аналогии с американским рынком коммерческих бумаг, пока в 2004 году один из самых крупных российских заемщиков, строительная компания «Стройметресурс», не объявил о банкротстве. Нельзя сказать, что рынок вексельных займов перестал существовать, однако на его развитие это событие оказало негативное влияние.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Кроме того, авторитет вексельного рынка был существенно подорван из-за криминальных операций, в которых векселя использовались в качестве инструмента при «возврате НДС» и «обналичивания». Эти «махинации» стали причиной негативного отношения к векселям со стороны государственных структур. Следует отметить, что подобное отношение связано с непониманием сути инструмента. В основе выпуска и передачи векселя всегда лежит какая-либо сделка, вексель лишь является инструментом, описывающим ее сторону расчетов. </w:t>
      </w:r>
    </w:p>
    <w:p w:rsidR="00651C1E" w:rsidRDefault="00651C1E">
      <w:pPr>
        <w:pStyle w:val="a7"/>
        <w:spacing w:line="360" w:lineRule="auto"/>
        <w:jc w:val="both"/>
        <w:rPr>
          <w:rFonts w:ascii="Times New Roman" w:hAnsi="Times New Roman"/>
          <w:sz w:val="28"/>
          <w:szCs w:val="28"/>
        </w:rPr>
      </w:pPr>
      <w:r>
        <w:rPr>
          <w:rFonts w:ascii="Times New Roman" w:hAnsi="Times New Roman"/>
          <w:sz w:val="28"/>
          <w:szCs w:val="28"/>
        </w:rPr>
        <w:t xml:space="preserve">На текущий момент финансовое состояние корпораций еще не достигло уровня зачетов. Что касается востребованности векселей как инструмента привлечения средств, то она также оставляет желать лучшего. </w:t>
      </w:r>
    </w:p>
    <w:p w:rsidR="00651C1E" w:rsidRDefault="009A32B4">
      <w:pPr>
        <w:pStyle w:val="a7"/>
        <w:spacing w:line="360" w:lineRule="auto"/>
        <w:jc w:val="both"/>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29.05pt;width:2.1pt;height:2.1pt;z-index:251657728;mso-wrap-distance-left:15pt;mso-wrap-distance-top:15pt;mso-wrap-distance-right:15pt;mso-wrap-distance-bottom:15pt" filled="t">
            <v:fill color2="black"/>
            <v:imagedata r:id="rId5"/>
            <w10:wrap type="square" side="right"/>
          </v:shape>
        </w:pict>
      </w:r>
      <w:r w:rsidR="00651C1E">
        <w:rPr>
          <w:rFonts w:ascii="Times New Roman" w:hAnsi="Times New Roman"/>
          <w:sz w:val="28"/>
          <w:szCs w:val="28"/>
        </w:rPr>
        <w:t xml:space="preserve">Изменяющиеся экономические реалии заставляют по-новому взглянуть на взаимоотношения между финансовым и реальным сектором. Благодаря операторам вексельного рынка существует возможность изменить отношение к векселю как к эффективному инструменту, способному обеспечить взаимодействие банковской системы с одной стороны и промышленности и сельского хозяйства — с другой. Это позволит, в свою очередь, вывести вексельное обращение на качественно новый уровень. В силу исторических причин в России не получили должного развития коммерческие бумаги (векселя, складские свидетельства, коносаменты), позволяющие увеличивать оборачиваемость кредиторской задолженности в экономике. Внедрение вексельного обращения позволит дать толчок развитию других типов коммерческих бумаг, что, в свою очередь, сделает возможным переориентацию инвестиций со спекулятивного рынка на нужды реального сектора. В этом состоит главный залог развития вексельного рынка в России. </w:t>
      </w:r>
    </w:p>
    <w:p w:rsidR="00651C1E" w:rsidRDefault="00651C1E">
      <w:pPr>
        <w:pStyle w:val="a7"/>
        <w:spacing w:line="360" w:lineRule="auto"/>
        <w:ind w:left="720"/>
        <w:jc w:val="both"/>
        <w:rPr>
          <w:rFonts w:ascii="Times New Roman" w:hAnsi="Times New Roman"/>
          <w:b/>
          <w:bCs/>
          <w:sz w:val="28"/>
          <w:szCs w:val="28"/>
        </w:rPr>
      </w:pPr>
      <w:r>
        <w:rPr>
          <w:rFonts w:ascii="Times New Roman" w:hAnsi="Times New Roman"/>
          <w:b/>
          <w:bCs/>
          <w:sz w:val="28"/>
          <w:szCs w:val="28"/>
        </w:rPr>
        <w:t>Перспективы развития:</w:t>
      </w:r>
    </w:p>
    <w:p w:rsidR="00651C1E" w:rsidRDefault="00651C1E">
      <w:pPr>
        <w:pStyle w:val="1LTGliederung1"/>
        <w:spacing w:line="360" w:lineRule="auto"/>
        <w:jc w:val="both"/>
        <w:rPr>
          <w:rFonts w:ascii="Times New Roman" w:hAnsi="Times New Roman" w:cs="Tahoma"/>
          <w:b w:val="0"/>
          <w:bCs w:val="0"/>
        </w:rPr>
      </w:pPr>
      <w:r>
        <w:rPr>
          <w:rFonts w:ascii="Times New Roman" w:eastAsia="Arial Narrow" w:hAnsi="Times New Roman" w:cs="Arial Narrow"/>
          <w:b w:val="0"/>
          <w:bCs w:val="0"/>
        </w:rPr>
        <w:t xml:space="preserve">1.Улучшение ситуации на финансовых рынках в целом как в стране, так и в мире будет </w:t>
      </w:r>
      <w:r>
        <w:rPr>
          <w:rFonts w:ascii="Times New Roman" w:hAnsi="Times New Roman" w:cs="Tahoma"/>
          <w:b w:val="0"/>
          <w:bCs w:val="0"/>
        </w:rPr>
        <w:t xml:space="preserve">способствовать к росту «аппетита» инвесторов к риску </w:t>
      </w:r>
    </w:p>
    <w:p w:rsidR="00651C1E" w:rsidRDefault="00651C1E">
      <w:pPr>
        <w:pStyle w:val="1LTGliederung1"/>
        <w:tabs>
          <w:tab w:val="clear" w:pos="2520"/>
          <w:tab w:val="clear" w:pos="3960"/>
          <w:tab w:val="clear" w:pos="5400"/>
          <w:tab w:val="clear" w:pos="6840"/>
          <w:tab w:val="clear" w:pos="8280"/>
          <w:tab w:val="clear" w:pos="9720"/>
          <w:tab w:val="clear" w:pos="11160"/>
          <w:tab w:val="clear" w:pos="12600"/>
          <w:tab w:val="clear" w:pos="14040"/>
          <w:tab w:val="clear" w:pos="15480"/>
          <w:tab w:val="clear" w:pos="16920"/>
          <w:tab w:val="left" w:pos="1080"/>
          <w:tab w:val="left" w:pos="1980"/>
          <w:tab w:val="left" w:pos="3420"/>
          <w:tab w:val="left" w:pos="4860"/>
          <w:tab w:val="left" w:pos="6300"/>
          <w:tab w:val="left" w:pos="7740"/>
          <w:tab w:val="left" w:pos="9180"/>
          <w:tab w:val="left" w:pos="10620"/>
          <w:tab w:val="left" w:pos="12060"/>
          <w:tab w:val="left" w:pos="13500"/>
          <w:tab w:val="left" w:pos="14940"/>
          <w:tab w:val="left" w:pos="16380"/>
        </w:tabs>
        <w:spacing w:before="320" w:line="360" w:lineRule="auto"/>
        <w:ind w:hanging="540"/>
        <w:jc w:val="both"/>
        <w:rPr>
          <w:rFonts w:ascii="Times New Roman" w:hAnsi="Times New Roman" w:cs="Tahoma"/>
          <w:b w:val="0"/>
          <w:bCs w:val="0"/>
        </w:rPr>
      </w:pPr>
      <w:r>
        <w:rPr>
          <w:rFonts w:ascii="Times New Roman" w:eastAsia="Arial Narrow" w:hAnsi="Times New Roman" w:cs="Arial Narrow"/>
          <w:b w:val="0"/>
          <w:bCs w:val="0"/>
        </w:rPr>
        <w:t xml:space="preserve">       2. Снижение ставки рефинансирования Банком России, сохраняющаяся поддержка </w:t>
      </w:r>
      <w:r>
        <w:rPr>
          <w:rFonts w:ascii="Times New Roman" w:hAnsi="Times New Roman" w:cs="Tahoma"/>
          <w:b w:val="0"/>
          <w:bCs w:val="0"/>
        </w:rPr>
        <w:t>ликвидности банковской системы – основные факторы сохранения интереса к банковским векселям</w:t>
      </w:r>
    </w:p>
    <w:p w:rsidR="00651C1E" w:rsidRDefault="00651C1E">
      <w:pPr>
        <w:pStyle w:val="1LTGliederung1"/>
        <w:tabs>
          <w:tab w:val="clear" w:pos="2520"/>
          <w:tab w:val="clear" w:pos="3960"/>
          <w:tab w:val="clear" w:pos="5400"/>
          <w:tab w:val="clear" w:pos="6840"/>
          <w:tab w:val="clear" w:pos="8280"/>
          <w:tab w:val="clear" w:pos="9720"/>
          <w:tab w:val="clear" w:pos="11160"/>
          <w:tab w:val="clear" w:pos="12600"/>
          <w:tab w:val="clear" w:pos="14040"/>
          <w:tab w:val="clear" w:pos="15480"/>
          <w:tab w:val="clear" w:pos="16920"/>
          <w:tab w:val="left" w:pos="1080"/>
          <w:tab w:val="left" w:pos="1980"/>
          <w:tab w:val="left" w:pos="3420"/>
          <w:tab w:val="left" w:pos="4860"/>
          <w:tab w:val="left" w:pos="6300"/>
          <w:tab w:val="left" w:pos="7740"/>
          <w:tab w:val="left" w:pos="9180"/>
          <w:tab w:val="left" w:pos="10620"/>
          <w:tab w:val="left" w:pos="12060"/>
          <w:tab w:val="left" w:pos="13500"/>
          <w:tab w:val="left" w:pos="14940"/>
          <w:tab w:val="left" w:pos="16380"/>
        </w:tabs>
        <w:spacing w:before="320" w:line="360" w:lineRule="auto"/>
        <w:ind w:hanging="540"/>
        <w:jc w:val="both"/>
        <w:rPr>
          <w:rFonts w:ascii="Times New Roman" w:hAnsi="Times New Roman" w:cs="Tahoma"/>
          <w:b w:val="0"/>
          <w:bCs w:val="0"/>
        </w:rPr>
      </w:pPr>
      <w:r>
        <w:rPr>
          <w:rFonts w:ascii="Times New Roman" w:eastAsia="Arial Narrow" w:hAnsi="Times New Roman" w:cs="Arial Narrow"/>
          <w:b w:val="0"/>
          <w:bCs w:val="0"/>
        </w:rPr>
        <w:t xml:space="preserve">       3. Произошедшее снижение ставок по 1-му эшелону может привести к повышению  </w:t>
      </w:r>
      <w:r>
        <w:rPr>
          <w:rFonts w:ascii="Times New Roman" w:hAnsi="Times New Roman" w:cs="Tahoma"/>
          <w:b w:val="0"/>
          <w:bCs w:val="0"/>
        </w:rPr>
        <w:t>спроса на банковские векселя 2-3 эшелонов на фоне расширившихся спрэдов к 1 эшелону</w:t>
      </w:r>
    </w:p>
    <w:p w:rsidR="00651C1E" w:rsidRDefault="00651C1E">
      <w:pPr>
        <w:pStyle w:val="1LTGliederung1"/>
        <w:tabs>
          <w:tab w:val="clear" w:pos="2520"/>
          <w:tab w:val="clear" w:pos="3960"/>
          <w:tab w:val="clear" w:pos="5400"/>
          <w:tab w:val="clear" w:pos="6840"/>
          <w:tab w:val="clear" w:pos="8280"/>
          <w:tab w:val="clear" w:pos="9720"/>
          <w:tab w:val="clear" w:pos="11160"/>
          <w:tab w:val="clear" w:pos="12600"/>
          <w:tab w:val="clear" w:pos="14040"/>
          <w:tab w:val="clear" w:pos="15480"/>
          <w:tab w:val="clear" w:pos="16920"/>
          <w:tab w:val="left" w:pos="1080"/>
          <w:tab w:val="left" w:pos="1980"/>
          <w:tab w:val="left" w:pos="3420"/>
          <w:tab w:val="left" w:pos="4860"/>
          <w:tab w:val="left" w:pos="6300"/>
          <w:tab w:val="left" w:pos="7740"/>
          <w:tab w:val="left" w:pos="9180"/>
          <w:tab w:val="left" w:pos="10620"/>
          <w:tab w:val="left" w:pos="12060"/>
          <w:tab w:val="left" w:pos="13500"/>
          <w:tab w:val="left" w:pos="14940"/>
          <w:tab w:val="left" w:pos="16380"/>
        </w:tabs>
        <w:spacing w:before="279" w:line="360" w:lineRule="auto"/>
        <w:ind w:hanging="540"/>
        <w:jc w:val="both"/>
        <w:rPr>
          <w:rFonts w:ascii="Times New Roman" w:hAnsi="Times New Roman" w:cs="Tahoma"/>
          <w:b w:val="0"/>
          <w:bCs w:val="0"/>
        </w:rPr>
      </w:pPr>
      <w:r>
        <w:rPr>
          <w:rFonts w:ascii="Times New Roman" w:eastAsia="Arial Narrow" w:hAnsi="Times New Roman" w:cs="Arial Narrow"/>
          <w:b w:val="0"/>
          <w:bCs w:val="0"/>
        </w:rPr>
        <w:t xml:space="preserve">       4. Расширение интереса инвесторов может коснуться  корпоративных заемщиков, которых можно </w:t>
      </w:r>
      <w:r>
        <w:rPr>
          <w:rFonts w:ascii="Times New Roman" w:hAnsi="Times New Roman" w:cs="Tahoma"/>
          <w:b w:val="0"/>
          <w:bCs w:val="0"/>
        </w:rPr>
        <w:t xml:space="preserve">отнести к «крепкому» второму эшелону. К ним прежде сего можно отнести компании связи, энергетики и ряда других отраслей, потребность которых в привлечении «коротких» денег остается на высоком уровне. </w:t>
      </w:r>
    </w:p>
    <w:p w:rsidR="00651C1E" w:rsidRDefault="00651C1E">
      <w:pPr>
        <w:pStyle w:val="1LTGliederung1"/>
        <w:tabs>
          <w:tab w:val="clear" w:pos="2520"/>
          <w:tab w:val="clear" w:pos="3960"/>
          <w:tab w:val="clear" w:pos="5400"/>
          <w:tab w:val="clear" w:pos="6840"/>
          <w:tab w:val="clear" w:pos="8280"/>
          <w:tab w:val="clear" w:pos="9720"/>
          <w:tab w:val="clear" w:pos="11160"/>
          <w:tab w:val="clear" w:pos="12600"/>
          <w:tab w:val="clear" w:pos="14040"/>
          <w:tab w:val="clear" w:pos="15480"/>
          <w:tab w:val="clear" w:pos="16920"/>
          <w:tab w:val="left" w:pos="1080"/>
          <w:tab w:val="left" w:pos="1980"/>
          <w:tab w:val="left" w:pos="3420"/>
          <w:tab w:val="left" w:pos="4860"/>
          <w:tab w:val="left" w:pos="6300"/>
          <w:tab w:val="left" w:pos="7740"/>
          <w:tab w:val="left" w:pos="9180"/>
          <w:tab w:val="left" w:pos="10620"/>
          <w:tab w:val="left" w:pos="12060"/>
          <w:tab w:val="left" w:pos="13500"/>
          <w:tab w:val="left" w:pos="14940"/>
          <w:tab w:val="left" w:pos="16380"/>
        </w:tabs>
        <w:spacing w:before="279" w:line="360" w:lineRule="auto"/>
        <w:ind w:hanging="540"/>
        <w:jc w:val="both"/>
        <w:rPr>
          <w:rFonts w:ascii="Times New Roman" w:hAnsi="Times New Roman" w:cs="Tahoma"/>
          <w:b w:val="0"/>
          <w:bCs w:val="0"/>
        </w:rPr>
      </w:pPr>
      <w:r>
        <w:rPr>
          <w:rFonts w:ascii="Times New Roman" w:eastAsia="Arial Narrow" w:hAnsi="Times New Roman" w:cs="Arial Narrow"/>
          <w:b w:val="0"/>
          <w:bCs w:val="0"/>
        </w:rPr>
        <w:t xml:space="preserve">       5. Определенные надежды мы сохраняем относительно  совершенствования системы кредитования </w:t>
      </w:r>
      <w:r>
        <w:rPr>
          <w:rFonts w:ascii="Times New Roman" w:hAnsi="Times New Roman" w:cs="Tahoma"/>
          <w:b w:val="0"/>
          <w:bCs w:val="0"/>
        </w:rPr>
        <w:t xml:space="preserve">под залог векселей Банком России в соответствии с Положением от 12 ноября 2007 г. №312-П, что может положительно повлиять на перспективы рынка корпоративных векселей </w:t>
      </w:r>
    </w:p>
    <w:p w:rsidR="00651C1E" w:rsidRDefault="00651C1E">
      <w:pPr>
        <w:pStyle w:val="1LTGliederung1"/>
        <w:tabs>
          <w:tab w:val="clear" w:pos="2520"/>
          <w:tab w:val="clear" w:pos="3960"/>
          <w:tab w:val="clear" w:pos="5400"/>
          <w:tab w:val="clear" w:pos="6840"/>
          <w:tab w:val="clear" w:pos="8280"/>
          <w:tab w:val="clear" w:pos="9720"/>
          <w:tab w:val="clear" w:pos="11160"/>
          <w:tab w:val="clear" w:pos="12600"/>
          <w:tab w:val="clear" w:pos="14040"/>
          <w:tab w:val="clear" w:pos="15480"/>
          <w:tab w:val="clear" w:pos="16920"/>
          <w:tab w:val="left" w:pos="1080"/>
          <w:tab w:val="left" w:pos="1980"/>
          <w:tab w:val="left" w:pos="3420"/>
          <w:tab w:val="left" w:pos="4860"/>
          <w:tab w:val="left" w:pos="6300"/>
          <w:tab w:val="left" w:pos="7740"/>
          <w:tab w:val="left" w:pos="9180"/>
          <w:tab w:val="left" w:pos="10620"/>
          <w:tab w:val="left" w:pos="12060"/>
          <w:tab w:val="left" w:pos="13500"/>
          <w:tab w:val="left" w:pos="14940"/>
          <w:tab w:val="left" w:pos="16380"/>
        </w:tabs>
        <w:spacing w:before="279" w:line="360" w:lineRule="auto"/>
        <w:ind w:hanging="540"/>
        <w:jc w:val="both"/>
      </w:pPr>
    </w:p>
    <w:p w:rsidR="00651C1E" w:rsidRDefault="00651C1E">
      <w:pPr>
        <w:pStyle w:val="1LTGliederung1"/>
        <w:tabs>
          <w:tab w:val="clear" w:pos="2520"/>
          <w:tab w:val="clear" w:pos="3960"/>
          <w:tab w:val="clear" w:pos="5400"/>
          <w:tab w:val="clear" w:pos="6840"/>
          <w:tab w:val="clear" w:pos="8280"/>
          <w:tab w:val="clear" w:pos="9720"/>
          <w:tab w:val="clear" w:pos="11160"/>
          <w:tab w:val="clear" w:pos="12600"/>
          <w:tab w:val="clear" w:pos="14040"/>
          <w:tab w:val="clear" w:pos="15480"/>
          <w:tab w:val="clear" w:pos="16920"/>
          <w:tab w:val="left" w:pos="1080"/>
          <w:tab w:val="left" w:pos="1980"/>
          <w:tab w:val="left" w:pos="3420"/>
          <w:tab w:val="left" w:pos="4860"/>
          <w:tab w:val="left" w:pos="6300"/>
          <w:tab w:val="left" w:pos="7740"/>
          <w:tab w:val="left" w:pos="9180"/>
          <w:tab w:val="left" w:pos="10620"/>
          <w:tab w:val="left" w:pos="12060"/>
          <w:tab w:val="left" w:pos="13500"/>
          <w:tab w:val="left" w:pos="14940"/>
          <w:tab w:val="left" w:pos="16380"/>
        </w:tabs>
        <w:spacing w:before="279"/>
        <w:ind w:hanging="540"/>
        <w:jc w:val="both"/>
      </w:pPr>
    </w:p>
    <w:p w:rsidR="00651C1E" w:rsidRDefault="00651C1E">
      <w:pPr>
        <w:pStyle w:val="a7"/>
        <w:spacing w:line="360" w:lineRule="auto"/>
        <w:ind w:left="720"/>
        <w:jc w:val="both"/>
        <w:rPr>
          <w:rFonts w:ascii="Times New Roman" w:hAnsi="Times New Roman"/>
          <w:color w:val="000000"/>
          <w:sz w:val="28"/>
          <w:szCs w:val="28"/>
        </w:rPr>
      </w:pPr>
    </w:p>
    <w:p w:rsidR="00651C1E" w:rsidRDefault="00651C1E">
      <w:pPr>
        <w:pStyle w:val="a7"/>
        <w:spacing w:line="360" w:lineRule="auto"/>
        <w:ind w:left="720"/>
        <w:jc w:val="both"/>
        <w:rPr>
          <w:rFonts w:ascii="Times New Roman" w:hAnsi="Times New Roman"/>
          <w:color w:val="000000"/>
          <w:sz w:val="28"/>
          <w:szCs w:val="28"/>
        </w:rPr>
      </w:pPr>
    </w:p>
    <w:p w:rsidR="00651C1E" w:rsidRDefault="00651C1E">
      <w:pPr>
        <w:pStyle w:val="a7"/>
        <w:spacing w:line="360" w:lineRule="auto"/>
        <w:ind w:left="720"/>
        <w:jc w:val="both"/>
        <w:rPr>
          <w:rFonts w:ascii="Times New Roman" w:hAnsi="Times New Roman"/>
          <w:color w:val="000000"/>
          <w:sz w:val="28"/>
          <w:szCs w:val="28"/>
        </w:rPr>
      </w:pPr>
    </w:p>
    <w:p w:rsidR="00651C1E" w:rsidRDefault="00651C1E">
      <w:pPr>
        <w:pStyle w:val="a7"/>
        <w:spacing w:line="360" w:lineRule="auto"/>
        <w:ind w:left="720"/>
        <w:jc w:val="both"/>
        <w:rPr>
          <w:rFonts w:ascii="Times New Roman" w:hAnsi="Times New Roman"/>
          <w:color w:val="000000"/>
          <w:sz w:val="28"/>
          <w:szCs w:val="28"/>
        </w:rPr>
      </w:pPr>
    </w:p>
    <w:p w:rsidR="00651C1E" w:rsidRDefault="00651C1E">
      <w:pPr>
        <w:pStyle w:val="a7"/>
        <w:spacing w:line="360" w:lineRule="auto"/>
        <w:ind w:left="720"/>
        <w:jc w:val="both"/>
        <w:rPr>
          <w:rFonts w:ascii="Times New Roman" w:hAnsi="Times New Roman"/>
          <w:color w:val="000000"/>
          <w:sz w:val="28"/>
          <w:szCs w:val="28"/>
        </w:rPr>
      </w:pPr>
    </w:p>
    <w:p w:rsidR="00651C1E" w:rsidRDefault="00651C1E">
      <w:pPr>
        <w:pStyle w:val="a7"/>
        <w:spacing w:line="360" w:lineRule="auto"/>
        <w:ind w:left="720"/>
        <w:jc w:val="both"/>
        <w:rPr>
          <w:rFonts w:ascii="Times New Roman" w:hAnsi="Times New Roman"/>
          <w:color w:val="000000"/>
          <w:sz w:val="28"/>
          <w:szCs w:val="28"/>
        </w:rPr>
      </w:pPr>
    </w:p>
    <w:p w:rsidR="00651C1E" w:rsidRDefault="00651C1E">
      <w:pPr>
        <w:pStyle w:val="a7"/>
        <w:spacing w:line="360" w:lineRule="auto"/>
        <w:ind w:left="720"/>
        <w:jc w:val="both"/>
        <w:rPr>
          <w:rFonts w:ascii="Times New Roman" w:hAnsi="Times New Roman"/>
          <w:color w:val="000000"/>
          <w:sz w:val="28"/>
          <w:szCs w:val="28"/>
        </w:rPr>
      </w:pPr>
    </w:p>
    <w:p w:rsidR="00651C1E" w:rsidRDefault="00651C1E">
      <w:pPr>
        <w:pStyle w:val="a7"/>
        <w:spacing w:line="360" w:lineRule="auto"/>
        <w:ind w:left="720"/>
        <w:jc w:val="both"/>
        <w:rPr>
          <w:rFonts w:ascii="Times New Roman" w:hAnsi="Times New Roman"/>
          <w:color w:val="000000"/>
          <w:sz w:val="28"/>
          <w:szCs w:val="28"/>
        </w:rPr>
      </w:pPr>
    </w:p>
    <w:p w:rsidR="00651C1E" w:rsidRDefault="00651C1E">
      <w:pPr>
        <w:pStyle w:val="a7"/>
        <w:spacing w:line="360" w:lineRule="auto"/>
        <w:ind w:left="720"/>
        <w:jc w:val="both"/>
        <w:rPr>
          <w:rFonts w:ascii="Times New Roman" w:hAnsi="Times New Roman"/>
          <w:color w:val="000000"/>
          <w:sz w:val="28"/>
          <w:szCs w:val="28"/>
        </w:rPr>
      </w:pPr>
    </w:p>
    <w:p w:rsidR="00651C1E" w:rsidRDefault="00651C1E">
      <w:pPr>
        <w:pStyle w:val="a7"/>
        <w:spacing w:line="360" w:lineRule="auto"/>
        <w:ind w:left="720"/>
        <w:jc w:val="both"/>
        <w:rPr>
          <w:rFonts w:ascii="Times New Roman" w:hAnsi="Times New Roman"/>
          <w:color w:val="000000"/>
          <w:sz w:val="28"/>
          <w:szCs w:val="28"/>
        </w:rPr>
      </w:pPr>
    </w:p>
    <w:p w:rsidR="00651C1E" w:rsidRDefault="00651C1E">
      <w:pPr>
        <w:pStyle w:val="a7"/>
        <w:spacing w:line="360" w:lineRule="auto"/>
        <w:ind w:left="720"/>
        <w:jc w:val="both"/>
        <w:rPr>
          <w:rFonts w:ascii="Times New Roman" w:hAnsi="Times New Roman"/>
          <w:color w:val="000000"/>
          <w:sz w:val="28"/>
          <w:szCs w:val="28"/>
        </w:rPr>
      </w:pPr>
    </w:p>
    <w:p w:rsidR="00651C1E" w:rsidRDefault="00651C1E">
      <w:pPr>
        <w:pStyle w:val="a7"/>
        <w:spacing w:line="360" w:lineRule="auto"/>
        <w:ind w:left="720"/>
        <w:jc w:val="both"/>
        <w:rPr>
          <w:rFonts w:ascii="Times New Roman" w:hAnsi="Times New Roman"/>
          <w:color w:val="000000"/>
          <w:sz w:val="28"/>
          <w:szCs w:val="28"/>
        </w:rPr>
      </w:pPr>
    </w:p>
    <w:p w:rsidR="00651C1E" w:rsidRDefault="00651C1E">
      <w:pPr>
        <w:pStyle w:val="a7"/>
        <w:spacing w:line="360" w:lineRule="auto"/>
        <w:ind w:left="720"/>
        <w:jc w:val="both"/>
        <w:rPr>
          <w:rFonts w:ascii="Times New Roman" w:hAnsi="Times New Roman"/>
          <w:color w:val="000000"/>
          <w:sz w:val="28"/>
          <w:szCs w:val="28"/>
        </w:rPr>
      </w:pPr>
    </w:p>
    <w:p w:rsidR="00651C1E" w:rsidRDefault="00651C1E">
      <w:pPr>
        <w:pStyle w:val="a7"/>
        <w:spacing w:line="360" w:lineRule="auto"/>
        <w:ind w:left="720"/>
        <w:jc w:val="both"/>
        <w:rPr>
          <w:rFonts w:ascii="Times New Roman" w:hAnsi="Times New Roman"/>
          <w:color w:val="000000"/>
          <w:sz w:val="28"/>
          <w:szCs w:val="28"/>
        </w:rPr>
      </w:pPr>
    </w:p>
    <w:p w:rsidR="00651C1E" w:rsidRDefault="00651C1E">
      <w:pPr>
        <w:pStyle w:val="a7"/>
        <w:spacing w:line="360" w:lineRule="auto"/>
        <w:ind w:left="720"/>
        <w:jc w:val="both"/>
        <w:rPr>
          <w:rFonts w:ascii="Times New Roman" w:hAnsi="Times New Roman"/>
          <w:color w:val="000000"/>
          <w:sz w:val="28"/>
          <w:szCs w:val="28"/>
        </w:rPr>
      </w:pPr>
    </w:p>
    <w:p w:rsidR="00651C1E" w:rsidRDefault="00651C1E">
      <w:pPr>
        <w:pStyle w:val="a7"/>
        <w:spacing w:line="360" w:lineRule="auto"/>
        <w:ind w:left="720"/>
        <w:jc w:val="both"/>
        <w:rPr>
          <w:rFonts w:ascii="Times New Roman" w:hAnsi="Times New Roman"/>
          <w:color w:val="000000"/>
          <w:sz w:val="40"/>
          <w:szCs w:val="40"/>
        </w:rPr>
      </w:pPr>
      <w:r>
        <w:rPr>
          <w:rFonts w:ascii="Times New Roman" w:hAnsi="Times New Roman"/>
          <w:color w:val="000000"/>
          <w:sz w:val="40"/>
          <w:szCs w:val="40"/>
        </w:rPr>
        <w:t>Список литературы:</w:t>
      </w:r>
    </w:p>
    <w:p w:rsidR="00651C1E" w:rsidRDefault="00651C1E">
      <w:pPr>
        <w:pStyle w:val="a7"/>
        <w:numPr>
          <w:ilvl w:val="0"/>
          <w:numId w:val="27"/>
        </w:numPr>
        <w:tabs>
          <w:tab w:val="left" w:pos="720"/>
        </w:tabs>
        <w:spacing w:line="360" w:lineRule="auto"/>
        <w:jc w:val="both"/>
        <w:rPr>
          <w:rFonts w:ascii="Times New Roman" w:hAnsi="Times New Roman"/>
          <w:color w:val="000000"/>
          <w:sz w:val="28"/>
          <w:szCs w:val="28"/>
        </w:rPr>
      </w:pPr>
      <w:r>
        <w:rPr>
          <w:rFonts w:ascii="Times New Roman" w:hAnsi="Times New Roman"/>
          <w:color w:val="000000"/>
          <w:sz w:val="28"/>
          <w:szCs w:val="34"/>
        </w:rPr>
        <w:t xml:space="preserve">Информационный </w:t>
      </w:r>
      <w:r>
        <w:rPr>
          <w:rFonts w:ascii="Times New Roman" w:hAnsi="Times New Roman"/>
          <w:color w:val="000000"/>
          <w:sz w:val="28"/>
          <w:szCs w:val="28"/>
        </w:rPr>
        <w:t>Бюллетень "Ценные бумаги" Издательского Дома "Интеркрим-Пресс" от 03.10.2009, 11 номер</w:t>
      </w:r>
    </w:p>
    <w:p w:rsidR="00651C1E" w:rsidRDefault="00651C1E">
      <w:pPr>
        <w:pStyle w:val="a7"/>
        <w:numPr>
          <w:ilvl w:val="0"/>
          <w:numId w:val="27"/>
        </w:numPr>
        <w:tabs>
          <w:tab w:val="left" w:pos="720"/>
        </w:tabs>
        <w:spacing w:line="360" w:lineRule="auto"/>
        <w:jc w:val="both"/>
        <w:rPr>
          <w:rFonts w:ascii="Times New Roman" w:hAnsi="Times New Roman"/>
          <w:sz w:val="28"/>
          <w:szCs w:val="28"/>
        </w:rPr>
      </w:pPr>
      <w:r>
        <w:rPr>
          <w:rFonts w:ascii="Times New Roman" w:hAnsi="Times New Roman"/>
          <w:sz w:val="28"/>
          <w:szCs w:val="28"/>
        </w:rPr>
        <w:t>"О переводном и простом векселе", Закон РФ от 11.03.97 № 48-ФЗ.</w:t>
      </w:r>
    </w:p>
    <w:p w:rsidR="00651C1E" w:rsidRDefault="00651C1E">
      <w:pPr>
        <w:numPr>
          <w:ilvl w:val="0"/>
          <w:numId w:val="26"/>
        </w:numPr>
        <w:tabs>
          <w:tab w:val="left" w:pos="720"/>
        </w:tabs>
        <w:spacing w:line="360" w:lineRule="auto"/>
        <w:jc w:val="both"/>
        <w:rPr>
          <w:rFonts w:ascii="Times New Roman" w:hAnsi="Times New Roman"/>
          <w:sz w:val="28"/>
          <w:szCs w:val="28"/>
        </w:rPr>
      </w:pPr>
      <w:r>
        <w:rPr>
          <w:rFonts w:ascii="Times New Roman" w:hAnsi="Times New Roman"/>
          <w:sz w:val="28"/>
          <w:szCs w:val="28"/>
        </w:rPr>
        <w:t>"О рынке ценных бумаг", Закон РФ от 22.04.96 № 39-ФЗ.</w:t>
      </w:r>
    </w:p>
    <w:p w:rsidR="00651C1E" w:rsidRDefault="00651C1E">
      <w:pPr>
        <w:numPr>
          <w:ilvl w:val="0"/>
          <w:numId w:val="26"/>
        </w:numPr>
        <w:tabs>
          <w:tab w:val="left" w:pos="720"/>
        </w:tabs>
        <w:spacing w:line="360" w:lineRule="auto"/>
        <w:jc w:val="both"/>
        <w:rPr>
          <w:rFonts w:ascii="Times New Roman" w:hAnsi="Times New Roman"/>
          <w:sz w:val="28"/>
          <w:szCs w:val="28"/>
        </w:rPr>
      </w:pPr>
      <w:r>
        <w:rPr>
          <w:rFonts w:ascii="Times New Roman" w:hAnsi="Times New Roman"/>
          <w:sz w:val="28"/>
          <w:szCs w:val="28"/>
        </w:rPr>
        <w:t>Журнал «Бухгалтерский бюллетень», 2009г.</w:t>
      </w:r>
    </w:p>
    <w:p w:rsidR="00651C1E" w:rsidRDefault="00651C1E">
      <w:pPr>
        <w:numPr>
          <w:ilvl w:val="0"/>
          <w:numId w:val="26"/>
        </w:numPr>
        <w:tabs>
          <w:tab w:val="left" w:pos="720"/>
        </w:tabs>
        <w:spacing w:line="360" w:lineRule="auto"/>
        <w:jc w:val="both"/>
        <w:rPr>
          <w:rFonts w:ascii="Times New Roman" w:hAnsi="Times New Roman"/>
          <w:sz w:val="28"/>
          <w:szCs w:val="28"/>
        </w:rPr>
      </w:pPr>
      <w:r>
        <w:rPr>
          <w:rFonts w:ascii="Times New Roman" w:hAnsi="Times New Roman"/>
          <w:sz w:val="28"/>
          <w:szCs w:val="28"/>
        </w:rPr>
        <w:t>Материалы, предоставленные Ассоциацией Участников Вексельного Рынка и Финансово Информационной Службой через сети Internet.</w:t>
      </w:r>
    </w:p>
    <w:p w:rsidR="00651C1E" w:rsidRDefault="00651C1E">
      <w:pPr>
        <w:numPr>
          <w:ilvl w:val="0"/>
          <w:numId w:val="26"/>
        </w:numPr>
        <w:tabs>
          <w:tab w:val="left" w:pos="720"/>
        </w:tabs>
        <w:spacing w:line="360" w:lineRule="auto"/>
        <w:jc w:val="both"/>
        <w:rPr>
          <w:rFonts w:ascii="Times New Roman" w:hAnsi="Times New Roman"/>
          <w:sz w:val="28"/>
          <w:szCs w:val="28"/>
        </w:rPr>
      </w:pPr>
      <w:r>
        <w:rPr>
          <w:rFonts w:ascii="Times New Roman" w:hAnsi="Times New Roman"/>
          <w:sz w:val="28"/>
          <w:szCs w:val="28"/>
        </w:rPr>
        <w:t>Журнал «Банковское дело», 2009г.</w:t>
      </w:r>
    </w:p>
    <w:p w:rsidR="00651C1E" w:rsidRDefault="00651C1E">
      <w:pPr>
        <w:spacing w:line="360" w:lineRule="auto"/>
        <w:jc w:val="both"/>
        <w:rPr>
          <w:rFonts w:ascii="Times New Roman" w:hAnsi="Times New Roman"/>
          <w:sz w:val="28"/>
          <w:szCs w:val="28"/>
        </w:rPr>
      </w:pPr>
      <w:r>
        <w:rPr>
          <w:rFonts w:ascii="Times New Roman" w:hAnsi="Times New Roman"/>
          <w:sz w:val="28"/>
          <w:szCs w:val="28"/>
        </w:rPr>
        <w:t xml:space="preserve">     7.   Газета «Экономика и жизнь», 2009 г.</w:t>
      </w:r>
    </w:p>
    <w:tbl>
      <w:tblPr>
        <w:tblW w:w="0" w:type="auto"/>
        <w:jc w:val="center"/>
        <w:tblLayout w:type="fixed"/>
        <w:tblCellMar>
          <w:left w:w="0" w:type="dxa"/>
          <w:right w:w="0" w:type="dxa"/>
        </w:tblCellMar>
        <w:tblLook w:val="0000" w:firstRow="0" w:lastRow="0" w:firstColumn="0" w:lastColumn="0" w:noHBand="0" w:noVBand="0"/>
      </w:tblPr>
      <w:tblGrid>
        <w:gridCol w:w="9637"/>
      </w:tblGrid>
      <w:tr w:rsidR="00651C1E">
        <w:trPr>
          <w:jc w:val="center"/>
        </w:trPr>
        <w:tc>
          <w:tcPr>
            <w:tcW w:w="9637" w:type="dxa"/>
          </w:tcPr>
          <w:p w:rsidR="00651C1E" w:rsidRDefault="00651C1E">
            <w:pPr>
              <w:pStyle w:val="a9"/>
              <w:snapToGrid w:val="0"/>
              <w:jc w:val="both"/>
            </w:pPr>
          </w:p>
        </w:tc>
      </w:tr>
    </w:tbl>
    <w:p w:rsidR="00651C1E" w:rsidRDefault="00651C1E">
      <w:pPr>
        <w:pStyle w:val="a7"/>
        <w:spacing w:line="360" w:lineRule="auto"/>
        <w:ind w:left="720"/>
        <w:jc w:val="both"/>
      </w:pPr>
      <w:bookmarkStart w:id="1" w:name="_GoBack"/>
      <w:bookmarkEnd w:id="1"/>
    </w:p>
    <w:sectPr w:rsidR="00651C1E">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5">
    <w:nsid w:val="0000001A"/>
    <w:multiLevelType w:val="multilevel"/>
    <w:tmpl w:val="0000001A"/>
    <w:name w:val="WW8Num2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C1E"/>
    <w:rsid w:val="00651C1E"/>
    <w:rsid w:val="00854D1F"/>
    <w:rsid w:val="009A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ecimalSymbol w:val=","/>
  <w:listSeparator w:val=";"/>
  <w15:chartTrackingRefBased/>
  <w15:docId w15:val="{531734FF-E033-425C-8F73-2C2B9565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Lucida Sans Unicode"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WW8Num7z0">
    <w:name w:val="WW8Num7z0"/>
    <w:rPr>
      <w:rFonts w:ascii="Symbol" w:hAnsi="Symbol" w:cs="StarSymbol"/>
      <w:sz w:val="18"/>
      <w:szCs w:val="18"/>
    </w:rPr>
  </w:style>
  <w:style w:type="character" w:customStyle="1" w:styleId="WW8Num8z0">
    <w:name w:val="WW8Num8z0"/>
    <w:rPr>
      <w:rFonts w:ascii="Symbol" w:hAnsi="Symbol" w:cs="StarSymbol"/>
      <w:sz w:val="18"/>
      <w:szCs w:val="18"/>
    </w:rPr>
  </w:style>
  <w:style w:type="character" w:customStyle="1" w:styleId="WW8Num9z0">
    <w:name w:val="WW8Num9z0"/>
    <w:rPr>
      <w:rFonts w:ascii="Symbol" w:hAnsi="Symbol" w:cs="StarSymbol"/>
      <w:sz w:val="18"/>
      <w:szCs w:val="18"/>
    </w:rPr>
  </w:style>
  <w:style w:type="character" w:customStyle="1" w:styleId="WW8Num10z0">
    <w:name w:val="WW8Num10z0"/>
    <w:rPr>
      <w:rFonts w:ascii="Symbol" w:hAnsi="Symbol" w:cs="StarSymbol"/>
      <w:sz w:val="18"/>
      <w:szCs w:val="18"/>
    </w:rPr>
  </w:style>
  <w:style w:type="character" w:customStyle="1" w:styleId="WW8Num11z0">
    <w:name w:val="WW8Num11z0"/>
    <w:rPr>
      <w:rFonts w:ascii="Symbol" w:hAnsi="Symbol" w:cs="StarSymbol"/>
      <w:sz w:val="18"/>
      <w:szCs w:val="18"/>
    </w:rPr>
  </w:style>
  <w:style w:type="character" w:customStyle="1" w:styleId="WW8Num12z0">
    <w:name w:val="WW8Num12z0"/>
    <w:rPr>
      <w:rFonts w:ascii="Symbol" w:hAnsi="Symbol" w:cs="StarSymbol"/>
      <w:sz w:val="18"/>
      <w:szCs w:val="18"/>
    </w:rPr>
  </w:style>
  <w:style w:type="character" w:customStyle="1" w:styleId="WW8Num13z0">
    <w:name w:val="WW8Num13z0"/>
    <w:rPr>
      <w:rFonts w:ascii="Symbol" w:hAnsi="Symbol" w:cs="StarSymbol"/>
      <w:sz w:val="18"/>
      <w:szCs w:val="18"/>
    </w:rPr>
  </w:style>
  <w:style w:type="character" w:customStyle="1" w:styleId="WW8Num14z0">
    <w:name w:val="WW8Num14z0"/>
    <w:rPr>
      <w:rFonts w:ascii="Symbol" w:hAnsi="Symbol" w:cs="StarSymbol"/>
      <w:sz w:val="18"/>
      <w:szCs w:val="18"/>
    </w:rPr>
  </w:style>
  <w:style w:type="character" w:customStyle="1" w:styleId="WW8Num15z0">
    <w:name w:val="WW8Num15z0"/>
    <w:rPr>
      <w:rFonts w:ascii="Symbol" w:hAnsi="Symbol" w:cs="StarSymbol"/>
      <w:sz w:val="18"/>
      <w:szCs w:val="18"/>
    </w:rPr>
  </w:style>
  <w:style w:type="character" w:customStyle="1" w:styleId="WW8Num16z0">
    <w:name w:val="WW8Num16z0"/>
    <w:rPr>
      <w:rFonts w:ascii="Symbol" w:hAnsi="Symbol" w:cs="StarSymbol"/>
      <w:sz w:val="18"/>
      <w:szCs w:val="18"/>
    </w:rPr>
  </w:style>
  <w:style w:type="character" w:customStyle="1" w:styleId="WW8Num17z0">
    <w:name w:val="WW8Num17z0"/>
    <w:rPr>
      <w:rFonts w:ascii="Symbol" w:hAnsi="Symbol" w:cs="StarSymbol"/>
      <w:sz w:val="18"/>
      <w:szCs w:val="18"/>
    </w:rPr>
  </w:style>
  <w:style w:type="character" w:customStyle="1" w:styleId="WW8Num18z0">
    <w:name w:val="WW8Num18z0"/>
    <w:rPr>
      <w:rFonts w:ascii="Symbol" w:hAnsi="Symbol" w:cs="StarSymbol"/>
      <w:sz w:val="18"/>
      <w:szCs w:val="18"/>
    </w:rPr>
  </w:style>
  <w:style w:type="character" w:customStyle="1" w:styleId="WW8Num19z0">
    <w:name w:val="WW8Num19z0"/>
    <w:rPr>
      <w:rFonts w:ascii="Symbol" w:hAnsi="Symbol" w:cs="StarSymbol"/>
      <w:sz w:val="18"/>
      <w:szCs w:val="18"/>
    </w:rPr>
  </w:style>
  <w:style w:type="character" w:customStyle="1" w:styleId="WW8Num20z0">
    <w:name w:val="WW8Num20z0"/>
    <w:rPr>
      <w:rFonts w:ascii="Symbol" w:hAnsi="Symbol" w:cs="StarSymbol"/>
      <w:sz w:val="18"/>
      <w:szCs w:val="18"/>
    </w:rPr>
  </w:style>
  <w:style w:type="character" w:customStyle="1" w:styleId="WW8Num21z0">
    <w:name w:val="WW8Num21z0"/>
    <w:rPr>
      <w:rFonts w:ascii="Symbol" w:hAnsi="Symbol" w:cs="StarSymbol"/>
      <w:sz w:val="18"/>
      <w:szCs w:val="18"/>
    </w:rPr>
  </w:style>
  <w:style w:type="character" w:customStyle="1" w:styleId="WW8Num22z0">
    <w:name w:val="WW8Num22z0"/>
    <w:rPr>
      <w:rFonts w:ascii="Symbol" w:hAnsi="Symbol" w:cs="StarSymbol"/>
      <w:sz w:val="18"/>
      <w:szCs w:val="18"/>
    </w:rPr>
  </w:style>
  <w:style w:type="character" w:customStyle="1" w:styleId="WW8Num23z0">
    <w:name w:val="WW8Num23z0"/>
    <w:rPr>
      <w:rFonts w:ascii="Symbol" w:hAnsi="Symbol" w:cs="StarSymbol"/>
      <w:sz w:val="18"/>
      <w:szCs w:val="18"/>
    </w:rPr>
  </w:style>
  <w:style w:type="character" w:customStyle="1" w:styleId="WW8Num24z0">
    <w:name w:val="WW8Num24z0"/>
    <w:rPr>
      <w:rFonts w:ascii="Symbol" w:hAnsi="Symbol" w:cs="StarSymbol"/>
      <w:sz w:val="18"/>
      <w:szCs w:val="18"/>
    </w:rPr>
  </w:style>
  <w:style w:type="character" w:customStyle="1" w:styleId="WW8Num25z0">
    <w:name w:val="WW8Num25z0"/>
    <w:rPr>
      <w:rFonts w:ascii="Symbol" w:hAnsi="Symbol" w:cs="StarSymbol"/>
      <w:sz w:val="18"/>
      <w:szCs w:val="18"/>
    </w:rPr>
  </w:style>
  <w:style w:type="character" w:customStyle="1" w:styleId="Absatz-Standardschriftart">
    <w:name w:val="Absatz-Standardschriftart"/>
  </w:style>
  <w:style w:type="character" w:customStyle="1" w:styleId="WW8Num26z0">
    <w:name w:val="WW8Num26z0"/>
    <w:rPr>
      <w:rFonts w:ascii="Symbol" w:hAnsi="Symbol" w:cs="StarSymbol"/>
      <w:sz w:val="18"/>
      <w:szCs w:val="18"/>
    </w:rPr>
  </w:style>
  <w:style w:type="character" w:customStyle="1" w:styleId="WW-Absatz-Standardschriftart">
    <w:name w:val="WW-Absatz-Standardschriftart"/>
  </w:style>
  <w:style w:type="character" w:styleId="a3">
    <w:name w:val="Hyperlink"/>
    <w:rPr>
      <w:color w:val="000080"/>
      <w:u w:val="single"/>
    </w:rPr>
  </w:style>
  <w:style w:type="character" w:customStyle="1" w:styleId="a4">
    <w:name w:val="Маркеры списка"/>
    <w:rPr>
      <w:rFonts w:ascii="StarSymbol" w:eastAsia="StarSymbol" w:hAnsi="StarSymbol" w:cs="StarSymbol"/>
      <w:sz w:val="18"/>
      <w:szCs w:val="18"/>
    </w:rPr>
  </w:style>
  <w:style w:type="character" w:customStyle="1" w:styleId="a5">
    <w:name w:val="Символ нумерации"/>
  </w:style>
  <w:style w:type="paragraph" w:customStyle="1" w:styleId="a6">
    <w:name w:val="Заголовок"/>
    <w:basedOn w:val="a"/>
    <w:next w:val="a7"/>
    <w:pPr>
      <w:keepNext/>
      <w:spacing w:before="240" w:after="120"/>
    </w:pPr>
    <w:rPr>
      <w:rFonts w:eastAsia="MS Mincho" w:cs="Tahoma"/>
      <w:sz w:val="28"/>
      <w:szCs w:val="28"/>
    </w:rPr>
  </w:style>
  <w:style w:type="paragraph" w:styleId="a7">
    <w:name w:val="Body Text"/>
    <w:basedOn w:val="a"/>
    <w:pPr>
      <w:spacing w:after="120"/>
    </w:pPr>
  </w:style>
  <w:style w:type="paragraph" w:styleId="a8">
    <w:name w:val="List"/>
    <w:basedOn w:val="a7"/>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ab">
    <w:name w:va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eastAsia="Tahoma" w:hAnsi="Tahoma"/>
      <w:color w:val="000000"/>
      <w:kern w:val="1"/>
      <w:sz w:val="36"/>
      <w:szCs w:val="36"/>
    </w:rPr>
  </w:style>
  <w:style w:type="paragraph" w:customStyle="1" w:styleId="ac">
    <w:name w:val="?????? ?? ????????"/>
    <w:basedOn w:val="ab"/>
  </w:style>
  <w:style w:type="paragraph" w:customStyle="1" w:styleId="ad">
    <w:name w:val="?????? ? ?????"/>
    <w:basedOn w:val="ab"/>
  </w:style>
  <w:style w:type="paragraph" w:customStyle="1" w:styleId="ae">
    <w:name w:val="?????? ??? ???????"/>
    <w:basedOn w:val="ab"/>
  </w:style>
  <w:style w:type="paragraph" w:customStyle="1" w:styleId="af">
    <w:name w:val="?????"/>
    <w:basedOn w:val="ab"/>
  </w:style>
  <w:style w:type="paragraph" w:customStyle="1" w:styleId="af0">
    <w:name w:val="???????? ?????"/>
    <w:basedOn w:val="ab"/>
  </w:style>
  <w:style w:type="paragraph" w:customStyle="1" w:styleId="af1">
    <w:name w:val="???????????? ?????? ?? ??????"/>
    <w:basedOn w:val="ab"/>
  </w:style>
  <w:style w:type="paragraph" w:customStyle="1" w:styleId="af2">
    <w:name w:val="?????? ?????? ? ????????"/>
    <w:basedOn w:val="ab"/>
    <w:pPr>
      <w:ind w:firstLine="340"/>
    </w:pPr>
  </w:style>
  <w:style w:type="paragraph" w:customStyle="1" w:styleId="af3">
    <w:name w:val="?????????"/>
    <w:basedOn w:val="ab"/>
  </w:style>
  <w:style w:type="paragraph" w:customStyle="1" w:styleId="11">
    <w:name w:val="????????? 1"/>
    <w:basedOn w:val="ab"/>
    <w:pPr>
      <w:jc w:val="center"/>
    </w:pPr>
  </w:style>
  <w:style w:type="paragraph" w:customStyle="1" w:styleId="2">
    <w:name w:val="????????? 2"/>
    <w:basedOn w:val="ab"/>
    <w:pPr>
      <w:spacing w:before="57" w:after="57"/>
      <w:ind w:right="113"/>
      <w:jc w:val="center"/>
    </w:pPr>
  </w:style>
  <w:style w:type="paragraph" w:customStyle="1" w:styleId="WW-">
    <w:name w:val="WW-?????????"/>
    <w:basedOn w:val="ab"/>
    <w:pPr>
      <w:spacing w:before="238" w:after="119"/>
    </w:pPr>
  </w:style>
  <w:style w:type="paragraph" w:customStyle="1" w:styleId="WW-1">
    <w:name w:val="WW-????????? 1"/>
    <w:basedOn w:val="ab"/>
    <w:pPr>
      <w:spacing w:before="238" w:after="119"/>
    </w:pPr>
  </w:style>
  <w:style w:type="paragraph" w:customStyle="1" w:styleId="WW-2">
    <w:name w:val="WW-????????? 2"/>
    <w:basedOn w:val="ab"/>
    <w:pPr>
      <w:spacing w:before="238" w:after="119"/>
    </w:pPr>
  </w:style>
  <w:style w:type="paragraph" w:customStyle="1" w:styleId="af4">
    <w:name w:val="????????? ?????"/>
    <w:basedOn w:val="ab"/>
  </w:style>
  <w:style w:type="paragraph" w:customStyle="1" w:styleId="LTGliederung1">
    <w:name w:val="???????~LT~Gliederung 1"/>
    <w:pPr>
      <w:widowControl w:val="0"/>
      <w:tabs>
        <w:tab w:val="left" w:pos="1620"/>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70"/>
      <w:ind w:left="540"/>
    </w:pPr>
    <w:rPr>
      <w:rFonts w:ascii="Tahoma" w:eastAsia="Tahoma" w:hAnsi="Tahoma"/>
      <w:b/>
      <w:bCs/>
      <w:color w:val="000000"/>
      <w:kern w:val="1"/>
      <w:sz w:val="28"/>
      <w:szCs w:val="28"/>
    </w:rPr>
  </w:style>
  <w:style w:type="paragraph" w:customStyle="1" w:styleId="LTGliederung2">
    <w:name w:val="???????~LT~Gliederung 2"/>
    <w:basedOn w:val="LTGliederung1"/>
    <w:pPr>
      <w:tabs>
        <w:tab w:val="left" w:pos="2250"/>
        <w:tab w:val="left" w:pos="2610"/>
        <w:tab w:val="left" w:pos="288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ind w:left="1170"/>
    </w:pPr>
  </w:style>
  <w:style w:type="paragraph" w:customStyle="1" w:styleId="LTGliederung3">
    <w:name w:val="???????~LT~Gliederung 3"/>
    <w:basedOn w:val="LTGliederung2"/>
    <w:pPr>
      <w:tabs>
        <w:tab w:val="clear" w:pos="8910"/>
        <w:tab w:val="clear" w:pos="9720"/>
        <w:tab w:val="clear" w:pos="9810"/>
        <w:tab w:val="clear" w:pos="10350"/>
        <w:tab w:val="clear" w:pos="11160"/>
        <w:tab w:val="clear" w:pos="11250"/>
        <w:tab w:val="clear" w:pos="11790"/>
        <w:tab w:val="clear" w:pos="12600"/>
        <w:tab w:val="clear" w:pos="12690"/>
        <w:tab w:val="clear" w:pos="13230"/>
        <w:tab w:val="clear" w:pos="14040"/>
        <w:tab w:val="clear" w:pos="14130"/>
        <w:tab w:val="clear" w:pos="14670"/>
        <w:tab w:val="clear" w:pos="15480"/>
        <w:tab w:val="clear" w:pos="15570"/>
        <w:tab w:val="clear" w:pos="16110"/>
        <w:tab w:val="clear" w:pos="16740"/>
        <w:tab w:val="clear" w:pos="16920"/>
        <w:tab w:val="clear" w:pos="17010"/>
        <w:tab w:val="clear" w:pos="17550"/>
        <w:tab w:val="clear" w:pos="18180"/>
        <w:tab w:val="left" w:pos="3240"/>
        <w:tab w:val="left" w:pos="3510"/>
        <w:tab w:val="left" w:pos="3600"/>
        <w:tab w:val="left" w:pos="3870"/>
        <w:tab w:val="left" w:pos="4140"/>
        <w:tab w:val="left" w:pos="4410"/>
        <w:tab w:val="left" w:pos="4680"/>
        <w:tab w:val="left" w:pos="5040"/>
        <w:tab w:val="left" w:pos="5310"/>
        <w:tab w:val="left" w:pos="5850"/>
        <w:tab w:val="left" w:pos="6120"/>
        <w:tab w:val="left" w:pos="6480"/>
        <w:tab w:val="left" w:pos="6750"/>
        <w:tab w:val="left" w:pos="7290"/>
        <w:tab w:val="left" w:pos="7560"/>
        <w:tab w:val="left" w:pos="7920"/>
        <w:tab w:val="left" w:pos="8190"/>
        <w:tab w:val="left" w:pos="8730"/>
        <w:tab w:val="left" w:pos="9000"/>
        <w:tab w:val="left" w:pos="9360"/>
        <w:tab w:val="left" w:pos="9630"/>
        <w:tab w:val="left" w:pos="10170"/>
        <w:tab w:val="left" w:pos="10440"/>
        <w:tab w:val="left" w:pos="10800"/>
        <w:tab w:val="left" w:pos="11070"/>
        <w:tab w:val="left" w:pos="11610"/>
        <w:tab w:val="left" w:pos="11880"/>
        <w:tab w:val="left" w:pos="12240"/>
        <w:tab w:val="left" w:pos="12510"/>
        <w:tab w:val="left" w:pos="13050"/>
        <w:tab w:val="left" w:pos="13320"/>
        <w:tab w:val="left" w:pos="13680"/>
        <w:tab w:val="left" w:pos="13950"/>
        <w:tab w:val="left" w:pos="14490"/>
        <w:tab w:val="left" w:pos="14760"/>
        <w:tab w:val="left" w:pos="15120"/>
        <w:tab w:val="left" w:pos="15390"/>
        <w:tab w:val="left" w:pos="15930"/>
      </w:tabs>
      <w:spacing w:before="60"/>
      <w:ind w:left="1800"/>
    </w:pPr>
    <w:rPr>
      <w:sz w:val="24"/>
      <w:szCs w:val="24"/>
    </w:rPr>
  </w:style>
  <w:style w:type="paragraph" w:customStyle="1" w:styleId="LTGliederung4">
    <w:name w:val="???????~LT~Gliederung 4"/>
    <w:basedOn w:val="LTGliederung3"/>
    <w:pPr>
      <w:spacing w:before="50"/>
      <w:ind w:left="2520"/>
    </w:pPr>
    <w:rPr>
      <w:b w:val="0"/>
      <w:bCs w:val="0"/>
      <w:i/>
      <w:iCs/>
      <w:sz w:val="20"/>
      <w:szCs w:val="20"/>
    </w:rPr>
  </w:style>
  <w:style w:type="paragraph" w:customStyle="1" w:styleId="LTGliederung5">
    <w:name w:val="???????~LT~Gliederung 5"/>
    <w:basedOn w:val="LTGliederung4"/>
    <w:pPr>
      <w:ind w:left="3240"/>
    </w:pPr>
    <w:rPr>
      <w:i w:val="0"/>
      <w:iCs w:val="0"/>
    </w:r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right"/>
    </w:pPr>
    <w:rPr>
      <w:rFonts w:ascii="Tahoma" w:eastAsia="Tahoma" w:hAnsi="Tahoma"/>
      <w:b/>
      <w:bCs/>
      <w:color w:val="007EBE"/>
      <w:kern w:val="1"/>
      <w:sz w:val="40"/>
      <w:szCs w:val="40"/>
    </w:rPr>
  </w:style>
  <w:style w:type="paragraph" w:customStyle="1" w:styleId="LTUntertitel">
    <w:name w:val="???????~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70"/>
      <w:jc w:val="center"/>
    </w:pPr>
    <w:rPr>
      <w:rFonts w:ascii="Tahoma" w:eastAsia="Tahoma" w:hAnsi="Tahoma"/>
      <w:b/>
      <w:bCs/>
      <w:color w:val="000000"/>
      <w:kern w:val="1"/>
      <w:sz w:val="28"/>
      <w:szCs w:val="28"/>
    </w:rPr>
  </w:style>
  <w:style w:type="paragraph" w:customStyle="1" w:styleId="LTNotizen">
    <w:name w:val="???????~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ahoma" w:hAnsi="Tahoma"/>
      <w:color w:val="000000"/>
      <w:kern w:val="1"/>
      <w:sz w:val="24"/>
      <w:szCs w:val="24"/>
    </w:rPr>
  </w:style>
  <w:style w:type="paragraph" w:customStyle="1" w:styleId="LTHintergrundobjekte">
    <w:name w:val="???????~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olor w:val="000000"/>
      <w:kern w:val="1"/>
      <w:sz w:val="36"/>
      <w:szCs w:val="36"/>
    </w:rPr>
  </w:style>
  <w:style w:type="paragraph" w:customStyle="1" w:styleId="LTHintergrund">
    <w:name w:val="???????~LT~Hintergrund"/>
    <w:pPr>
      <w:widowControl w:val="0"/>
      <w:suppressAutoHyphens/>
      <w:autoSpaceDE w:val="0"/>
      <w:jc w:val="center"/>
    </w:pPr>
    <w:rPr>
      <w:rFonts w:ascii="Arial" w:eastAsia="Lucida Sans Unicode" w:hAnsi="Arial"/>
      <w:kern w:val="1"/>
      <w:szCs w:val="24"/>
    </w:rPr>
  </w:style>
  <w:style w:type="paragraph" w:customStyle="1" w:styleId="WW-10">
    <w:name w:val="WW-?????????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right"/>
    </w:pPr>
    <w:rPr>
      <w:rFonts w:ascii="Tahoma" w:eastAsia="Tahoma" w:hAnsi="Tahoma"/>
      <w:b/>
      <w:bCs/>
      <w:color w:val="808080"/>
      <w:kern w:val="1"/>
      <w:sz w:val="40"/>
      <w:szCs w:val="40"/>
    </w:rPr>
  </w:style>
  <w:style w:type="paragraph" w:customStyle="1" w:styleId="af5">
    <w:name w:va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70"/>
      <w:jc w:val="center"/>
    </w:pPr>
    <w:rPr>
      <w:rFonts w:ascii="Tahoma" w:eastAsia="Tahoma" w:hAnsi="Tahoma"/>
      <w:b/>
      <w:bCs/>
      <w:color w:val="000000"/>
      <w:kern w:val="1"/>
      <w:sz w:val="28"/>
      <w:szCs w:val="28"/>
    </w:rPr>
  </w:style>
  <w:style w:type="paragraph" w:customStyle="1" w:styleId="af6">
    <w:name w:val="??????? ????"/>
    <w:pPr>
      <w:widowControl w:val="0"/>
      <w:suppressAutoHyphens/>
      <w:autoSpaceDE w:val="0"/>
    </w:pPr>
    <w:rPr>
      <w:rFonts w:ascii="Arial" w:eastAsia="Lucida Sans Unicode" w:hAnsi="Arial"/>
      <w:kern w:val="1"/>
      <w:szCs w:val="24"/>
    </w:rPr>
  </w:style>
  <w:style w:type="paragraph" w:customStyle="1" w:styleId="af7">
    <w:name w:val="???"/>
    <w:pPr>
      <w:widowControl w:val="0"/>
      <w:suppressAutoHyphens/>
      <w:autoSpaceDE w:val="0"/>
      <w:jc w:val="center"/>
    </w:pPr>
    <w:rPr>
      <w:rFonts w:ascii="Arial" w:eastAsia="Lucida Sans Unicode" w:hAnsi="Arial"/>
      <w:kern w:val="1"/>
      <w:szCs w:val="24"/>
    </w:rPr>
  </w:style>
  <w:style w:type="paragraph" w:customStyle="1" w:styleId="af8">
    <w:name w:va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ahoma" w:hAnsi="Tahoma"/>
      <w:color w:val="000000"/>
      <w:kern w:val="1"/>
      <w:sz w:val="24"/>
      <w:szCs w:val="24"/>
    </w:rPr>
  </w:style>
  <w:style w:type="paragraph" w:customStyle="1" w:styleId="WW-11">
    <w:name w:val="WW-????????? 11"/>
    <w:pPr>
      <w:widowControl w:val="0"/>
      <w:tabs>
        <w:tab w:val="left" w:pos="1620"/>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70"/>
      <w:ind w:left="540"/>
    </w:pPr>
    <w:rPr>
      <w:rFonts w:ascii="Tahoma" w:eastAsia="Tahoma" w:hAnsi="Tahoma"/>
      <w:b/>
      <w:bCs/>
      <w:color w:val="000000"/>
      <w:kern w:val="1"/>
      <w:sz w:val="28"/>
      <w:szCs w:val="28"/>
    </w:rPr>
  </w:style>
  <w:style w:type="paragraph" w:customStyle="1" w:styleId="WW-21">
    <w:name w:val="WW-????????? 21"/>
    <w:basedOn w:val="WW-11"/>
    <w:pPr>
      <w:tabs>
        <w:tab w:val="left" w:pos="2250"/>
        <w:tab w:val="left" w:pos="2610"/>
        <w:tab w:val="left" w:pos="288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ind w:left="1170"/>
    </w:pPr>
  </w:style>
  <w:style w:type="paragraph" w:customStyle="1" w:styleId="3">
    <w:name w:val="????????? 3"/>
    <w:basedOn w:val="WW-21"/>
    <w:pPr>
      <w:tabs>
        <w:tab w:val="clear" w:pos="8910"/>
        <w:tab w:val="clear" w:pos="9720"/>
        <w:tab w:val="clear" w:pos="9810"/>
        <w:tab w:val="clear" w:pos="10350"/>
        <w:tab w:val="clear" w:pos="11160"/>
        <w:tab w:val="clear" w:pos="11250"/>
        <w:tab w:val="clear" w:pos="11790"/>
        <w:tab w:val="clear" w:pos="12600"/>
        <w:tab w:val="clear" w:pos="12690"/>
        <w:tab w:val="clear" w:pos="13230"/>
        <w:tab w:val="clear" w:pos="14040"/>
        <w:tab w:val="clear" w:pos="14130"/>
        <w:tab w:val="clear" w:pos="14670"/>
        <w:tab w:val="clear" w:pos="15480"/>
        <w:tab w:val="clear" w:pos="15570"/>
        <w:tab w:val="clear" w:pos="16110"/>
        <w:tab w:val="clear" w:pos="16740"/>
        <w:tab w:val="clear" w:pos="16920"/>
        <w:tab w:val="clear" w:pos="17010"/>
        <w:tab w:val="clear" w:pos="17550"/>
        <w:tab w:val="clear" w:pos="18180"/>
        <w:tab w:val="left" w:pos="3240"/>
        <w:tab w:val="left" w:pos="3510"/>
        <w:tab w:val="left" w:pos="3600"/>
        <w:tab w:val="left" w:pos="3870"/>
        <w:tab w:val="left" w:pos="4140"/>
        <w:tab w:val="left" w:pos="4410"/>
        <w:tab w:val="left" w:pos="4680"/>
        <w:tab w:val="left" w:pos="5040"/>
        <w:tab w:val="left" w:pos="5310"/>
        <w:tab w:val="left" w:pos="5850"/>
        <w:tab w:val="left" w:pos="6120"/>
        <w:tab w:val="left" w:pos="6480"/>
        <w:tab w:val="left" w:pos="6750"/>
        <w:tab w:val="left" w:pos="7290"/>
        <w:tab w:val="left" w:pos="7560"/>
        <w:tab w:val="left" w:pos="7920"/>
        <w:tab w:val="left" w:pos="8190"/>
        <w:tab w:val="left" w:pos="8730"/>
        <w:tab w:val="left" w:pos="9000"/>
        <w:tab w:val="left" w:pos="9360"/>
        <w:tab w:val="left" w:pos="9630"/>
        <w:tab w:val="left" w:pos="10170"/>
        <w:tab w:val="left" w:pos="10440"/>
        <w:tab w:val="left" w:pos="10800"/>
        <w:tab w:val="left" w:pos="11070"/>
        <w:tab w:val="left" w:pos="11610"/>
        <w:tab w:val="left" w:pos="11880"/>
        <w:tab w:val="left" w:pos="12240"/>
        <w:tab w:val="left" w:pos="12510"/>
        <w:tab w:val="left" w:pos="13050"/>
        <w:tab w:val="left" w:pos="13320"/>
        <w:tab w:val="left" w:pos="13680"/>
        <w:tab w:val="left" w:pos="13950"/>
        <w:tab w:val="left" w:pos="14490"/>
        <w:tab w:val="left" w:pos="14760"/>
        <w:tab w:val="left" w:pos="15120"/>
        <w:tab w:val="left" w:pos="15390"/>
        <w:tab w:val="left" w:pos="15930"/>
      </w:tabs>
      <w:spacing w:before="60"/>
      <w:ind w:left="1800"/>
    </w:pPr>
    <w:rPr>
      <w:sz w:val="24"/>
      <w:szCs w:val="24"/>
    </w:rPr>
  </w:style>
  <w:style w:type="paragraph" w:customStyle="1" w:styleId="4">
    <w:name w:val="????????? 4"/>
    <w:basedOn w:val="3"/>
    <w:pPr>
      <w:spacing w:before="50"/>
      <w:ind w:left="2520"/>
    </w:pPr>
    <w:rPr>
      <w:b w:val="0"/>
      <w:bCs w:val="0"/>
      <w:i/>
      <w:iCs/>
      <w:sz w:val="20"/>
      <w:szCs w:val="20"/>
    </w:rPr>
  </w:style>
  <w:style w:type="paragraph" w:customStyle="1" w:styleId="5">
    <w:name w:val="????????? 5"/>
    <w:basedOn w:val="4"/>
    <w:pPr>
      <w:ind w:left="3240"/>
    </w:pPr>
    <w:rPr>
      <w:i w:val="0"/>
      <w:iCs w:val="0"/>
    </w:r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paragraph" w:customStyle="1" w:styleId="1LTGliederung1">
    <w:name w:val="?????????1~LT~Gliederung 1"/>
    <w:pPr>
      <w:widowControl w:val="0"/>
      <w:tabs>
        <w:tab w:val="left" w:pos="1620"/>
        <w:tab w:val="left" w:pos="2520"/>
        <w:tab w:val="left" w:pos="3960"/>
        <w:tab w:val="left" w:pos="5400"/>
        <w:tab w:val="left" w:pos="6840"/>
        <w:tab w:val="left" w:pos="8280"/>
        <w:tab w:val="left" w:pos="9720"/>
        <w:tab w:val="left" w:pos="11160"/>
        <w:tab w:val="left" w:pos="12600"/>
        <w:tab w:val="left" w:pos="14040"/>
        <w:tab w:val="left" w:pos="15480"/>
        <w:tab w:val="left" w:pos="16920"/>
      </w:tabs>
      <w:suppressAutoHyphens/>
      <w:autoSpaceDE w:val="0"/>
      <w:spacing w:before="70"/>
      <w:ind w:left="540"/>
    </w:pPr>
    <w:rPr>
      <w:rFonts w:ascii="Tahoma" w:eastAsia="Tahoma" w:hAnsi="Tahoma"/>
      <w:b/>
      <w:bCs/>
      <w:color w:val="000000"/>
      <w:kern w:val="1"/>
      <w:sz w:val="28"/>
      <w:szCs w:val="28"/>
    </w:rPr>
  </w:style>
  <w:style w:type="paragraph" w:customStyle="1" w:styleId="1LTGliederung2">
    <w:name w:val="?????????1~LT~Gliederung 2"/>
    <w:basedOn w:val="1LTGliederung1"/>
    <w:pPr>
      <w:tabs>
        <w:tab w:val="left" w:pos="2250"/>
        <w:tab w:val="left" w:pos="2610"/>
        <w:tab w:val="left" w:pos="2880"/>
        <w:tab w:val="left" w:pos="3150"/>
        <w:tab w:val="left" w:pos="3780"/>
        <w:tab w:val="left" w:pos="4050"/>
        <w:tab w:val="left" w:pos="4590"/>
        <w:tab w:val="left" w:pos="5220"/>
        <w:tab w:val="left" w:pos="5490"/>
        <w:tab w:val="left" w:pos="6030"/>
        <w:tab w:val="left" w:pos="6660"/>
        <w:tab w:val="left" w:pos="6930"/>
        <w:tab w:val="left" w:pos="7470"/>
        <w:tab w:val="left" w:pos="8100"/>
        <w:tab w:val="left" w:pos="8370"/>
        <w:tab w:val="left" w:pos="8910"/>
        <w:tab w:val="left" w:pos="9540"/>
        <w:tab w:val="left" w:pos="9810"/>
        <w:tab w:val="left" w:pos="10350"/>
        <w:tab w:val="left" w:pos="10980"/>
        <w:tab w:val="left" w:pos="11250"/>
        <w:tab w:val="left" w:pos="11790"/>
        <w:tab w:val="left" w:pos="12420"/>
        <w:tab w:val="left" w:pos="12690"/>
        <w:tab w:val="left" w:pos="13230"/>
        <w:tab w:val="left" w:pos="13860"/>
        <w:tab w:val="left" w:pos="14130"/>
        <w:tab w:val="left" w:pos="14670"/>
        <w:tab w:val="left" w:pos="15300"/>
        <w:tab w:val="left" w:pos="15570"/>
        <w:tab w:val="left" w:pos="16110"/>
        <w:tab w:val="left" w:pos="16740"/>
        <w:tab w:val="left" w:pos="17010"/>
        <w:tab w:val="left" w:pos="17550"/>
        <w:tab w:val="left" w:pos="18180"/>
      </w:tabs>
      <w:ind w:left="1170"/>
    </w:pPr>
  </w:style>
  <w:style w:type="paragraph" w:customStyle="1" w:styleId="1LTGliederung3">
    <w:name w:val="?????????1~LT~Gliederung 3"/>
    <w:basedOn w:val="1LTGliederung2"/>
    <w:pPr>
      <w:tabs>
        <w:tab w:val="clear" w:pos="8910"/>
        <w:tab w:val="clear" w:pos="9720"/>
        <w:tab w:val="clear" w:pos="9810"/>
        <w:tab w:val="clear" w:pos="10350"/>
        <w:tab w:val="clear" w:pos="11160"/>
        <w:tab w:val="clear" w:pos="11250"/>
        <w:tab w:val="clear" w:pos="11790"/>
        <w:tab w:val="clear" w:pos="12600"/>
        <w:tab w:val="clear" w:pos="12690"/>
        <w:tab w:val="clear" w:pos="13230"/>
        <w:tab w:val="clear" w:pos="14040"/>
        <w:tab w:val="clear" w:pos="14130"/>
        <w:tab w:val="clear" w:pos="14670"/>
        <w:tab w:val="clear" w:pos="15480"/>
        <w:tab w:val="clear" w:pos="15570"/>
        <w:tab w:val="clear" w:pos="16110"/>
        <w:tab w:val="clear" w:pos="16740"/>
        <w:tab w:val="clear" w:pos="16920"/>
        <w:tab w:val="clear" w:pos="17010"/>
        <w:tab w:val="clear" w:pos="17550"/>
        <w:tab w:val="clear" w:pos="18180"/>
        <w:tab w:val="left" w:pos="3240"/>
        <w:tab w:val="left" w:pos="3510"/>
        <w:tab w:val="left" w:pos="3600"/>
        <w:tab w:val="left" w:pos="3870"/>
        <w:tab w:val="left" w:pos="4140"/>
        <w:tab w:val="left" w:pos="4410"/>
        <w:tab w:val="left" w:pos="4680"/>
        <w:tab w:val="left" w:pos="5040"/>
        <w:tab w:val="left" w:pos="5310"/>
        <w:tab w:val="left" w:pos="5850"/>
        <w:tab w:val="left" w:pos="6120"/>
        <w:tab w:val="left" w:pos="6480"/>
        <w:tab w:val="left" w:pos="6750"/>
        <w:tab w:val="left" w:pos="7290"/>
        <w:tab w:val="left" w:pos="7560"/>
        <w:tab w:val="left" w:pos="7920"/>
        <w:tab w:val="left" w:pos="8190"/>
        <w:tab w:val="left" w:pos="8730"/>
        <w:tab w:val="left" w:pos="9000"/>
        <w:tab w:val="left" w:pos="9360"/>
        <w:tab w:val="left" w:pos="9630"/>
        <w:tab w:val="left" w:pos="10170"/>
        <w:tab w:val="left" w:pos="10440"/>
        <w:tab w:val="left" w:pos="10800"/>
        <w:tab w:val="left" w:pos="11070"/>
        <w:tab w:val="left" w:pos="11610"/>
        <w:tab w:val="left" w:pos="11880"/>
        <w:tab w:val="left" w:pos="12240"/>
        <w:tab w:val="left" w:pos="12510"/>
        <w:tab w:val="left" w:pos="13050"/>
        <w:tab w:val="left" w:pos="13320"/>
        <w:tab w:val="left" w:pos="13680"/>
        <w:tab w:val="left" w:pos="13950"/>
        <w:tab w:val="left" w:pos="14490"/>
        <w:tab w:val="left" w:pos="14760"/>
        <w:tab w:val="left" w:pos="15120"/>
        <w:tab w:val="left" w:pos="15390"/>
        <w:tab w:val="left" w:pos="15930"/>
      </w:tabs>
      <w:spacing w:before="60"/>
      <w:ind w:left="1800"/>
    </w:pPr>
    <w:rPr>
      <w:sz w:val="24"/>
      <w:szCs w:val="24"/>
    </w:rPr>
  </w:style>
  <w:style w:type="paragraph" w:customStyle="1" w:styleId="1LTGliederung4">
    <w:name w:val="?????????1~LT~Gliederung 4"/>
    <w:basedOn w:val="1LTGliederung3"/>
    <w:pPr>
      <w:spacing w:before="50"/>
      <w:ind w:left="2520"/>
    </w:pPr>
    <w:rPr>
      <w:b w:val="0"/>
      <w:bCs w:val="0"/>
      <w:i/>
      <w:iCs/>
      <w:sz w:val="20"/>
      <w:szCs w:val="20"/>
    </w:rPr>
  </w:style>
  <w:style w:type="paragraph" w:customStyle="1" w:styleId="1LTGliederung5">
    <w:name w:val="?????????1~LT~Gliederung 5"/>
    <w:basedOn w:val="1LTGliederung4"/>
    <w:pPr>
      <w:ind w:left="3240"/>
    </w:pPr>
    <w:rPr>
      <w:i w:val="0"/>
      <w:iCs w:val="0"/>
    </w:rPr>
  </w:style>
  <w:style w:type="paragraph" w:customStyle="1" w:styleId="1LTGliederung6">
    <w:name w:val="?????????1~LT~Gliederung 6"/>
    <w:basedOn w:val="1LTGliederung5"/>
  </w:style>
  <w:style w:type="paragraph" w:customStyle="1" w:styleId="1LTGliederung7">
    <w:name w:val="?????????1~LT~Gliederung 7"/>
    <w:basedOn w:val="1LTGliederung6"/>
  </w:style>
  <w:style w:type="paragraph" w:customStyle="1" w:styleId="1LTGliederung8">
    <w:name w:val="?????????1~LT~Gliederung 8"/>
    <w:basedOn w:val="1LTGliederung7"/>
  </w:style>
  <w:style w:type="paragraph" w:customStyle="1" w:styleId="1LTGliederung9">
    <w:name w:val="?????????1~LT~Gliederung 9"/>
    <w:basedOn w:val="1LTGliederung8"/>
  </w:style>
  <w:style w:type="paragraph" w:customStyle="1" w:styleId="1LTTitel">
    <w:name w:val="?????????1~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right"/>
    </w:pPr>
    <w:rPr>
      <w:rFonts w:ascii="Tahoma" w:eastAsia="Tahoma" w:hAnsi="Tahoma"/>
      <w:b/>
      <w:bCs/>
      <w:color w:val="808080"/>
      <w:kern w:val="1"/>
      <w:sz w:val="40"/>
      <w:szCs w:val="40"/>
    </w:rPr>
  </w:style>
  <w:style w:type="paragraph" w:customStyle="1" w:styleId="1LTUntertitel">
    <w:name w:val="?????????1~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70"/>
      <w:jc w:val="center"/>
    </w:pPr>
    <w:rPr>
      <w:rFonts w:ascii="Tahoma" w:eastAsia="Tahoma" w:hAnsi="Tahoma"/>
      <w:b/>
      <w:bCs/>
      <w:color w:val="000000"/>
      <w:kern w:val="1"/>
      <w:sz w:val="28"/>
      <w:szCs w:val="28"/>
    </w:rPr>
  </w:style>
  <w:style w:type="paragraph" w:customStyle="1" w:styleId="1LTNotizen">
    <w:name w:val="?????????1~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ahoma" w:hAnsi="Tahoma"/>
      <w:color w:val="000000"/>
      <w:kern w:val="1"/>
      <w:sz w:val="24"/>
      <w:szCs w:val="24"/>
    </w:rPr>
  </w:style>
  <w:style w:type="paragraph" w:customStyle="1" w:styleId="1LTHintergrundobjekte">
    <w:name w:val="?????????1~LT~Hintergrundobjekte"/>
    <w:pPr>
      <w:widowControl w:val="0"/>
      <w:suppressAutoHyphens/>
      <w:autoSpaceDE w:val="0"/>
    </w:pPr>
    <w:rPr>
      <w:rFonts w:ascii="Arial" w:eastAsia="Lucida Sans Unicode" w:hAnsi="Arial"/>
      <w:kern w:val="1"/>
      <w:szCs w:val="24"/>
    </w:rPr>
  </w:style>
  <w:style w:type="paragraph" w:customStyle="1" w:styleId="1LTHintergrund">
    <w:name w:val="?????????1~LT~Hintergrund"/>
    <w:pPr>
      <w:widowControl w:val="0"/>
      <w:suppressAutoHyphens/>
      <w:autoSpaceDE w:val="0"/>
      <w:jc w:val="center"/>
    </w:pPr>
    <w:rPr>
      <w:rFonts w:ascii="Arial" w:eastAsia="Lucida Sans Unicode" w:hAnsi="Arial"/>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auver.ru/img.php?id=127&amp;chart=doc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4071</Words>
  <Characters>23209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1899-12-31T22:00:00Z</cp:lastPrinted>
  <dcterms:created xsi:type="dcterms:W3CDTF">2014-10-31T12:42:00Z</dcterms:created>
  <dcterms:modified xsi:type="dcterms:W3CDTF">2014-10-31T12:42:00Z</dcterms:modified>
</cp:coreProperties>
</file>