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b/>
          <w:sz w:val="28"/>
          <w:szCs w:val="28"/>
        </w:rPr>
        <w:t>Верховенство Конституции и закона.</w:t>
      </w:r>
    </w:p>
    <w:p w:rsidR="00F703BA" w:rsidRPr="002A7643" w:rsidRDefault="00F703BA" w:rsidP="002A7643">
      <w:pPr>
        <w:pStyle w:val="1"/>
        <w:spacing w:line="360" w:lineRule="auto"/>
        <w:ind w:left="0"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Принципы внешней политики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b/>
          <w:sz w:val="28"/>
          <w:szCs w:val="28"/>
        </w:rPr>
      </w:pP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b/>
          <w:sz w:val="28"/>
          <w:szCs w:val="28"/>
        </w:rPr>
        <w:t>1. Содержание принципа "Верховенство Конституции и закона".</w:t>
      </w:r>
    </w:p>
    <w:p w:rsidR="002A7643" w:rsidRDefault="002A7643" w:rsidP="002A7643">
      <w:pPr>
        <w:pStyle w:val="2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</w:p>
    <w:p w:rsidR="00F703BA" w:rsidRPr="002A7643" w:rsidRDefault="00F703BA" w:rsidP="002A7643">
      <w:pPr>
        <w:pStyle w:val="2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  <w:r w:rsidRPr="002A7643">
        <w:rPr>
          <w:rFonts w:ascii="Times New Roman" w:hAnsi="Times New Roman"/>
          <w:sz w:val="28"/>
          <w:szCs w:val="28"/>
        </w:rPr>
        <w:t>В статье 15 Конституции Республики Узбекистан получил отражение один из основополагающих принципов правового государства - принцип верховенства конституции и закона.</w:t>
      </w:r>
    </w:p>
    <w:p w:rsidR="00F703BA" w:rsidRPr="002A7643" w:rsidRDefault="00F703BA" w:rsidP="002A7643">
      <w:pPr>
        <w:pStyle w:val="a3"/>
        <w:spacing w:line="360" w:lineRule="auto"/>
        <w:ind w:right="-2" w:firstLine="709"/>
        <w:rPr>
          <w:sz w:val="28"/>
          <w:szCs w:val="28"/>
        </w:rPr>
      </w:pPr>
      <w:r w:rsidRPr="002A7643">
        <w:rPr>
          <w:sz w:val="28"/>
          <w:szCs w:val="28"/>
        </w:rPr>
        <w:t>Этот принцип, с одной стороны, подразумевает верховенство конституции и закона в иерархии нормативных актов, обеспечиваемое, во-первых, утверждением конституционного режима в правотворческой деятельности, предполагающего строгое соответствие всех нормативных актов, в том числе и законов, Конституции; во-вторых, установлением строгого режима законности в нормотворческой деятельности государства, в соответствии с которыми ни один подзаконный акт не может изменять или дополнять положения Конституции и закона. Они могут приниматься только во исполнение Конституции и закона.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С другой стороны, принцип верховенства Конституции и закона означает подчинение жизнедеятельности общества, прежде всего им. Претворение в жизнь этого принципа во втором его значении зависит от многих факторов, но, прежде всего, от авторитета Конституции и</w:t>
      </w:r>
      <w:r w:rsidRPr="002A7643">
        <w:rPr>
          <w:smallCaps/>
          <w:sz w:val="28"/>
          <w:szCs w:val="28"/>
        </w:rPr>
        <w:t xml:space="preserve"> </w:t>
      </w:r>
      <w:r w:rsidRPr="002A7643">
        <w:rPr>
          <w:sz w:val="28"/>
          <w:szCs w:val="28"/>
        </w:rPr>
        <w:t>закона в обществе. Конституция и законы, не пользующиеся уважением общества, как правило, не исполняются. Общество не находит нужным считаться с их требованиями, игнорирует их.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Для того чтобы авторитет Конституции и закона в обществе был высоким, в первую очередь необходимо обеспечить соответствие принципам права самой Конституции, а потом добиться абсолютного соответствия ей законов и всех других правовых актов государства. Законы должны отвечать духу времени и обеспечивать решение стоящих задач. Необходимо, чтобы они защищали законные интересы человека, стояли на страже его прав и свобод.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Непременным условием повышения авторитета закона является обеспечение качества принимаемых законов, так как и сегодня одним из серьезных изъянов правотворчества является излишняя поспешность в подготовки и принятии законов. По этой причине немало пробелов вскрыто в целом ряде законов, принятых уже в последние годы.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Повышение качества законов немыслимо без учета моральных норм при разработке законодательных актов, без их соответствия духовности народа. Еще ибн Сино в «Книге исцеления» писал, что, разрабатывая законы, необходимо учитывать «нравственные устои народа и те традиции, которые побуждают к справедливости». Мораль оказывала, и будет оказывать первостепенную роль на жизнь людей, и если содержание закона отходит от выработанных обществом моральных норм, то авторитет закона оказывается невысоким. Он не понятен обществу, вызывает у него недоверие и поэтому практическое его претворение в жизнь будет крайне затруднительным.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Наряду с совершенствованием нормотворческой деятельности важным средством обеспечения верховенства Конституции и закона является эффективно работающий механизм их реализации. Это требует совершенствования практической деятельности государственных органов и должностных лиц по созданию условий, материально-технической базы для претворения в жизнь закона и Конституции. Низкая эффективность некоторых наших законов объясняется или отсутствием в них норм, указывающих на источник материального обеспечения или отсутствием достаточных материальных ресурсов у общества для претворения в жизнь закона, или создания трудностей в материально-техническом обеспечении реализации закона. И пока в этих вопросах не будет наведен порядок, эффективность работы закона будет оставаться низкой.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Необходимо обеспечить своевременное доведение закона до исполнителей и обучение их способам эффективной его реализации, совершенствование функциональных обязанностей государственных структур в соответствии с требованиями закона.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 xml:space="preserve">Создание эффективно работающего механизма реализации закона требует своевременного осуществления системы мер, направленных на психологическую подготовку человека к положительному восприятию закона, создание у него интереса </w:t>
      </w:r>
      <w:r w:rsidRPr="002A7643">
        <w:rPr>
          <w:i/>
          <w:sz w:val="28"/>
          <w:szCs w:val="28"/>
        </w:rPr>
        <w:t>к</w:t>
      </w:r>
      <w:r w:rsidRPr="002A7643">
        <w:rPr>
          <w:sz w:val="28"/>
          <w:szCs w:val="28"/>
        </w:rPr>
        <w:t xml:space="preserve"> закону. Среди законодательных актов принятых в Республике в последнее время, немало революционных по своему значению, содержание которых противоречит многим сложившимся в обществе представлениям, что создает большие трудности при их реализации. Этого можно было бы избежать, если бы до их принятия было сформировано положительное к ним отношение.</w:t>
      </w:r>
    </w:p>
    <w:p w:rsidR="00F703BA" w:rsidRPr="002A7643" w:rsidRDefault="00F703BA" w:rsidP="002A7643">
      <w:pPr>
        <w:pStyle w:val="2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  <w:r w:rsidRPr="002A7643">
        <w:rPr>
          <w:rFonts w:ascii="Times New Roman" w:hAnsi="Times New Roman"/>
          <w:sz w:val="28"/>
          <w:szCs w:val="28"/>
        </w:rPr>
        <w:t>Реальное воплощение в жизнь законов обеспечивается юридическими механизмами их поддержки. Законы нередко носят общий характер, а правовые акты, разъясняющие способы и пути их реализации отсутствуют. Поэтому сама жизнь требует, чтобы закон издавался вместе с актами, определяющими порядок претворения в жизнь его положений, чтобы была разработана эффективная система ответственности государственных органов и должностных лиц за не обеспечение или противодействие осуществлению закона.</w:t>
      </w:r>
    </w:p>
    <w:p w:rsidR="00F703BA" w:rsidRPr="002A7643" w:rsidRDefault="00F703BA" w:rsidP="002A7643">
      <w:pPr>
        <w:pStyle w:val="2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2A7643">
        <w:rPr>
          <w:b/>
          <w:sz w:val="28"/>
          <w:szCs w:val="28"/>
        </w:rPr>
        <w:t>2. Пути укрепления законности в Республике Узбекистан.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Торжество конституции и закона во многом зависит от того, как их требования будут претворяться в жизнь, от состояния законности и правопорядка в обществе. Укрепление же последних напрямую связано с усилиями и государства, и органов самоуправления граждан, и общественных объединений, и должностных лиц, и граждан.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Важную роль в решении этой проблемы призваны играть, например, Олий Мажлис Республики Узбекистан и Жокаргы кенес Республики Каракалпакстан, в обязанности которых входит постоянное усовершенствование и упорядочение законодательства, что является фундаментом законности и правопорядка.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Высока роль в этом деле Советов народных депутатов, на которые возложено обеспечение исполнения конституции и законов предприятиями, учреждениями, организациями, общественными объединениями и гражданами. Большое место в деятельности Советов народных депутатов занимает обеспечение законности в деятельности государственных органов, стоящих на страже правопорядка.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Но наряду с осуществлением контроля над деятельностью государственных органов, общественных объединений и граждан</w:t>
      </w:r>
      <w:r w:rsidRPr="002A7643">
        <w:rPr>
          <w:b/>
          <w:sz w:val="28"/>
          <w:szCs w:val="28"/>
        </w:rPr>
        <w:t xml:space="preserve"> </w:t>
      </w:r>
      <w:r w:rsidRPr="002A7643">
        <w:rPr>
          <w:sz w:val="28"/>
          <w:szCs w:val="28"/>
        </w:rPr>
        <w:t>за исполнением нормативных актов на Советах народных депутатов лежит обязанность обеспечивать законность и в своей собственной работе. Соблюдение законности непосредственно Советами народных депутатов - непременное условие укрепления законности во всех сферах государственной и общественной жизни. Если Советы народных депутатов сами нарушают закона, то тем самым они дают повод для незаконных действий другим, в том числе, и гражданам.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Важной гарантией обеспечения законности Советами народных депутатов является участие в этой работе народных депутатов. Народный депутат как представитель государственной власти вправе на месте потребовать прекращения нарушения, а в необходимых случаях обратиться с требованием к соответствующим органам и должностным лицам пресечь нарушение закона, прав и законных интересов граждан.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Действенным средством укрепления законности служит депутатский запрос - право депутатов в необходимых случаях на сессиях Советов народных депутатов потребовать и получить от органов управления официальное объяснение по любому вопросу их деятельности, в том числе и по вопросам нарушения законности.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Одной из форм привлечения депутатов к работе по обеспечению законности в период между сессиями Советов народных депутатов являются постоянные комиссии, которые, каждая в своей отрасли, должны обеспечивать точное и своевременное исполнение законов и других актов министерствами, ведомствами, предприятиями, учреждениями в их хозяйственной деятельности.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Укрепление законности тесно связано с деятельностью органов исполнительной власти, отличающихся от других частей государственного аппарата тем, что в своей деятельности наиболее широко организуют применение и исполнение законов и</w:t>
      </w:r>
      <w:r w:rsidRPr="002A7643">
        <w:rPr>
          <w:smallCaps/>
          <w:sz w:val="28"/>
          <w:szCs w:val="28"/>
        </w:rPr>
        <w:t xml:space="preserve"> </w:t>
      </w:r>
      <w:r w:rsidRPr="002A7643">
        <w:rPr>
          <w:sz w:val="28"/>
          <w:szCs w:val="28"/>
        </w:rPr>
        <w:t>других правовых актов.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Реализация принципов законности в деятельности органов исполнительной власти означает безусловное выполнение Конституции и законов, издание правовых актов с соблюдением требований законности, их упорядочение и систематизацию, защиту всех форм собственности, прав и свобод человека, укрепление общественного порядка. Строгое следование принципам законности позволяет добиваться четкости и повышения культуры работы органов исполнительной власти, что, в конечном счете, способствует повышению эффективности управления, росту сознательности и активности граждан.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Одной из важнейших форм обеспечения законности в деятельности органов исполнительной власти является контроль и проверка фактического исполнения. Основное назначение контроля и проверки фактического исполнения – способствовать неукоснительному выполнению решений в установленный срок, достижению высоких конечных результатов, повышению уровня организованности в управленческой деятельности и ответственности в работе должностных лиц, обеспечение ритмичности и целеустремленности в работе государственного аппарата управления.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Действенным средством улучшения качества управления, укрепления законности является своевременное рассмотрение жалоб и заявлений граждан и их правильное разрешение. Ибо общественное мнение есть ни что иное, как оценка уровня деятельности, культуры работы государственных организаций и должностных лиц.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В системе мер по укреплению законности первоочередное место отводится совершенствованию деятельности правосудия, являющегося важной гарантией законности. Правосудие имеет своей задачей восстановить нарушенное право, добиться его осуществления, либо выявить и наказать правонарушителя, с тем, чтобы в дальнейшем ни ему, ни другим не пришло в голову нарушать законы. Но правосудие может только тогда исполнить свой долг, когда в его деятельности строго соблюдаются требования закона. Правосудие есть деятельность суда по применению закона с соблюдением процессуальных форм, служащих гарантией прав и интересов личности, а также предприятий, учреждений и организаций при разрешении спора о гражданском праве или в связи с рассмотрением уголовных дел. Ни один невинный не должен пострадать и ни один виновный человек не должен уйти от ответственности – так должна быть сформулирована задача суда.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В условиях качественного обновления общества неизмеримо возрастает роль прокурорского надзора в укреплении законности. Органы прокуратуры присущими им методами и средствами обязаны всемерно содействовать обеспечению твердого правового режима перестройки деятельности Советов народных депутатов, хокимов, органов самоуправления граждан, общественных объединений и должностных лиц. Важнейшей своей задачей они должны считать обеспечение прав и свобод человека, искоренение нарушений законности в работе правоохранительных органов, улучшение надзора за исполнением законов в местах содержания задержанных, арестованных и осужденных.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Центральное место в системе мер, направленных на укрепление законности, занимает дальнейшее совершенствование работы органов, стоящих на страже общественного порядка, деятельность которых составляет реальную основу режима законности. Они обеспечивают функционирование общественных отношений в соответствии с законами Республики и политическую стабильность в стране, защищают интересы общества и личности.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Требует дальнейшего совершенствования деятельность адвокатов, призванных путем оказания юридической помощи населению и организациям, обеспечивать укрепление законности и правопорядка, пропаганду законодательства, защиту прав, свобод, и интересов граждан и юридических лиц. Важная форма борьбы адвокатов за законность – участие в уголовном судопроизводстве. В соответствии с новым уголовно-процессуальным кодексом, адвокат сегодня в качестве защитника допускается к участию в уголовном деле с момента предъявления обвинения, а в случае задержания лица, подозреваемого в совершении преступления, или применения к нему меры пресечения в виде заключения под стражу до предъявления обвинения – с момента объявления ему об избрании меры пресечения, но не позднее 24 часов с момента задержания.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По ряду категорий дел участие адвоката в уголовном деле обязательно. К таким делам относятся дела несовершеннолетних, немых, глухих, слепых и других лиц, которые в силу своих физических или психических недостатков не могут сами осуществлять право на защиту, или не владеют языком, на котором ведется производство по делу. Участие адвоката обязательно также в случае участия в деле государственного обвинителя.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В условиях последовательного углубления демократии, все большую роль в укреплении законности признано играть общественное мнение. В целом по Республике только в прокурорские органы ежегодно поступают десятки тысяч писем, жалоб и заявлений, которые, если даже не каждая из них получает положительное разрешение, позволяют чувствовать пульс жизни нашего общественного организма, активизировать всю деятельность по охране прав граждан.</w:t>
      </w:r>
      <w:r w:rsidR="002A7643">
        <w:rPr>
          <w:sz w:val="28"/>
          <w:szCs w:val="28"/>
        </w:rPr>
        <w:t xml:space="preserve"> </w:t>
      </w:r>
      <w:r w:rsidRPr="002A7643">
        <w:rPr>
          <w:sz w:val="28"/>
          <w:szCs w:val="28"/>
        </w:rPr>
        <w:t>Большое внимание вопросам законности уделяют средства массовой информации, что способствует выявлению недостатков и нарушений, а также тех, кто их порождает. Однако роль этих средств в укреплении законности будет значимой только в том случае, если публикуемые ими материалы будут объективными, утверждать линию правовой политики, ценности и принципы права и законности, содержать надлежащую информацию о законах, других правовых актах, вырабатывать у населения готовность их соблюдать.</w:t>
      </w:r>
      <w:r w:rsidR="002A7643">
        <w:rPr>
          <w:sz w:val="28"/>
          <w:szCs w:val="28"/>
        </w:rPr>
        <w:t xml:space="preserve"> </w:t>
      </w:r>
      <w:r w:rsidRPr="002A7643">
        <w:rPr>
          <w:sz w:val="28"/>
          <w:szCs w:val="28"/>
        </w:rPr>
        <w:t>Необходимо активизировать работу по вовлечению в работу по укреплению законности всей системы общественной самодеятельности населения, учебных заведений, коллективов предприятий, учреждений, организаций.</w:t>
      </w:r>
    </w:p>
    <w:p w:rsidR="00F703BA" w:rsidRPr="002A7643" w:rsidRDefault="00F703BA" w:rsidP="002A7643">
      <w:pPr>
        <w:pStyle w:val="2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  <w:r w:rsidRPr="002A7643">
        <w:rPr>
          <w:rFonts w:ascii="Times New Roman" w:hAnsi="Times New Roman"/>
          <w:sz w:val="28"/>
          <w:szCs w:val="28"/>
        </w:rPr>
        <w:t>Нарушения законности станут крайне редкими явлениями тогда, когда каждый станет активным и принципиальным борцом за ее укрепление, когда не будет равнодушных, проходящих мимо актов очевидного безобразия, беззакония, когда любое нарушение закона встретит моральное осуждение общества, когда будет создана обстановка всеобщей нетерпимости к нарушениям установленного порядка.</w:t>
      </w:r>
    </w:p>
    <w:p w:rsidR="00F703BA" w:rsidRPr="002A7643" w:rsidRDefault="00F703BA" w:rsidP="002A7643">
      <w:pPr>
        <w:pStyle w:val="2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2A7643">
        <w:rPr>
          <w:b/>
          <w:sz w:val="28"/>
          <w:szCs w:val="28"/>
        </w:rPr>
        <w:t>3. Внешняя политика республики Узбекистан.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b/>
          <w:sz w:val="28"/>
          <w:szCs w:val="28"/>
        </w:rPr>
      </w:pP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Прежде, являясь членом Союза Советских Социалистических Республик, Узбекистан был лишен возможности прямо и открыто выходить на международную арену. У него практически не было ни своих внешнеполитических институтов, ни специалистов по вопросам внешнеполитической деятельности.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С провозглашением независимости в Республике были сформированы государственные органы, обеспечивающие внешние связи Узбекистана. Созданы правовые основы внешнеполитической деятельности Республики: конституционно определены принципы внешнеполитической деятельности Республики, приняты законы «Об основных принципах внешнеполитической деятельности Республики Узбекистан», «О международных договорах Республики Узбекистан», «Об обороне», «О военной доктрине Республике Узбекистан» и некоторые другие.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Обретение независимости позволило Республике стать полноценным членом международного сообщества и проводить самостоятельную, отвечающую интересам Узбекистана внешнюю политику.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В основу своей внешней политики Узбекистан ставит всемерный учет взаимных интересов и взаимной выгоды при верховенстве национальных интересов, укрепление мира и безопасности, открытость во внешней политике и стремление установить обширные внешние связи со всеми миролюбивыми странами, приоритет международного права, установление и развитие как двусторонних, так и многосторонних внешних связей.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В своей внешней политике Узбекистан придерживается норм и общепризнанных принципов международного права: суверенного равенства государств, неприменения силы или угрозы силой, нерушимости границ, мирного разрешении споров, невмешательства во внутренние дела других государств.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Принцип суверенного равенства предполагает признание независимости государств, их права самостоятельно выбирать и развивать политические, экономические и правовые системы, принимать свои законы, определять и осуществлять отношения с другими государствами.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Принцип неприменения силы или угрозы силой в международных отношениях, означает, что государства в своих международных отношениях обязаны воздерживаться от военной, политической, или какой-либо другой формы давления на другие страны в целях лишения их политической или экономической независимости.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Принцип нерушимости границ означает признание территориального верховенства или территориальной целостности государства. Общие границы с соседними странами и границы между другими странами признаются нерушимыми. Государства воздерживаются от любых действий, направленных на захват всего или части другого государства.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Принцип мирного разрешения споров означает, что все споры между государствами, в том числе территориальные и в отношении границ должны решаться мирными средствами и в соответствии с международным правом, с тем, чтобы не подвергать угрозе мир, безопасность и интересы народов.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Принцип невмешательства во внутренние дела других государств, с одной стороны, предполагает право каждого народа самому решать вопросы своего развития, а с другой – обязанность государств воздерживаться, во-первых, от любого вмешательства в решение вопросов, входящих во внутреннюю компетенцию другого государства; во-вторых, от оказания поддержки террористической, подрывной, или иной деятельности, которая направлена на насильственную смену политического режима.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Выполняя названные принципы, Узбекистан выступает сторонником создания системы межгосударственных соглашений, позволяющей создать эффективное политическое пространство, кольцо безопасности, доверия и добрососедства. Он выступает за открытость во внешней политике, установление и развитие как двусторонних, так и многосторонних внешних связей со всеми странами мира, отдавая при этом приоритеты прямым и многосторонним отношениям со странами СНГ, и, прежде всего с Россией, укреплению дружеских братских связей с суверенными государствами Центральной Азии, развитию отношений с Турцией и другими странами мусульманского мира, с Китаем, Индией, взаимодействию с США, Германией, Францией, Италией.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Республика Узбекистан является решительным противником использования войны в качестве средства решения международных и межгосударственных проблем, активно участвует в ликвидации всяких конфликтов межу государствами посредством дипломатии, направляя усилия на исключение или преодоление причин противоречий.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Отдавая приоритет общечеловеческим принципам во взаимоотношениях между государствами, Узбекистан заявил о неприменении своих вооруженных сил против других государств, кроме случаев нападения на него или другие государства, связанные с ним договорами о взаимной помощи, объявил себя неядерной зоной и видит свое дальнейшее существование вне агрессивных блоков и союзов.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Вместе с тем, постоянное присутствие в мире напряженности в политической ситуации, приверженность отдельных государств проведению политики силы, стремление к наращиванию группировок вооруженных сил вблизи границ республики, нестабильность политической обстановки в определенных странах, деятельность, направленная на разжигание националистических настроений и религиозной нетерпимости, побуждает Узбекистан серьезно относиться к обеспечению собственной безопасности.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Главными военно-стратегическими задачами Республика считает:</w:t>
      </w:r>
    </w:p>
    <w:p w:rsidR="00F703BA" w:rsidRPr="002A7643" w:rsidRDefault="00F703BA" w:rsidP="002A7643">
      <w:pPr>
        <w:numPr>
          <w:ilvl w:val="0"/>
          <w:numId w:val="2"/>
        </w:numPr>
        <w:spacing w:line="360" w:lineRule="auto"/>
        <w:ind w:left="0"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в мирное время – поддержание обороноспособности государства на уровне необходимости достаточности, гарантирующей территориальную целостность Республики, пресечение возможных провокаций, обеспечение постоянной всесторонней готовности ее вооруженных сил к отражению агрессии;</w:t>
      </w:r>
    </w:p>
    <w:p w:rsidR="00F703BA" w:rsidRPr="002A7643" w:rsidRDefault="00F703BA" w:rsidP="002A7643">
      <w:pPr>
        <w:numPr>
          <w:ilvl w:val="0"/>
          <w:numId w:val="2"/>
        </w:numPr>
        <w:spacing w:line="360" w:lineRule="auto"/>
        <w:ind w:left="0"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 xml:space="preserve"> в случае войны гарантированное отражение агрессии,  нанесение решительного поражения агрессору.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Ключевым направлением внешнеполитической деятельности Республики является формирование экономических отношений со странами мира. Главными задачами, которые решаются Республикой в этом плане является: укрепление и развитие экспортного потенциала, формирование экспортно-ориентированной экономики, ускоренное развитие импортозамещающих производств, либерализация внешнеэкономической деятельности, стимулирование широкого привлечения в Республику иностранных инвестиций.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Статья 17 Конституции, закрепляющая вышеперечисленные принципы внешней политики Узбекистана, предусматривает также право Республики заключать союзы, входить в содружества и другие межгосударственные образования, а также выходить из них. Конституция обуславливает эти права Республики высшими интересами государства, народа, его благосостоянием и безопасностью.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2A7643">
        <w:rPr>
          <w:b/>
          <w:sz w:val="28"/>
          <w:szCs w:val="28"/>
        </w:rPr>
        <w:br w:type="page"/>
        <w:t>Литература:</w:t>
      </w:r>
    </w:p>
    <w:p w:rsidR="00F703BA" w:rsidRPr="002A7643" w:rsidRDefault="00F703BA" w:rsidP="002A7643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F703BA" w:rsidRPr="002A7643" w:rsidRDefault="00F703BA" w:rsidP="002A764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Конституция республики Узбекистан.</w:t>
      </w:r>
    </w:p>
    <w:p w:rsidR="00F703BA" w:rsidRPr="002A7643" w:rsidRDefault="00F703BA" w:rsidP="002A764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2A7643">
        <w:rPr>
          <w:sz w:val="28"/>
          <w:szCs w:val="28"/>
        </w:rPr>
        <w:t xml:space="preserve">И. А. Каримов «Узбекистан на пороге </w:t>
      </w:r>
      <w:r w:rsidRPr="002A7643">
        <w:rPr>
          <w:sz w:val="28"/>
          <w:szCs w:val="28"/>
          <w:lang w:val="en-US"/>
        </w:rPr>
        <w:t>XXI</w:t>
      </w:r>
      <w:r w:rsidRPr="002A7643">
        <w:rPr>
          <w:sz w:val="28"/>
          <w:szCs w:val="28"/>
        </w:rPr>
        <w:t xml:space="preserve"> века», Ташкент 1997г.</w:t>
      </w:r>
    </w:p>
    <w:p w:rsidR="00F703BA" w:rsidRPr="002A7643" w:rsidRDefault="00F703BA" w:rsidP="002A764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И. А. Каримов «Национальная независимость, экономика, политика, идеология», Ташкент 1993г.</w:t>
      </w:r>
    </w:p>
    <w:p w:rsidR="00F703BA" w:rsidRPr="002A7643" w:rsidRDefault="00F703BA" w:rsidP="002A764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И. А. Каримов «По пути созидания», Ташкент 1996г.</w:t>
      </w:r>
    </w:p>
    <w:p w:rsidR="00F703BA" w:rsidRPr="002A7643" w:rsidRDefault="00F703BA" w:rsidP="002A764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И. А. Каримов «По пути безопасности и стабильного развития», Ташкент 1998г.</w:t>
      </w:r>
    </w:p>
    <w:p w:rsidR="00F703BA" w:rsidRPr="002A7643" w:rsidRDefault="00F703BA" w:rsidP="002A764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И. А. Каримов «Наша высшая цель – независимость и процветание Родины, свобода и благополучие народа», Ташкент 2000г.</w:t>
      </w:r>
    </w:p>
    <w:p w:rsidR="00F703BA" w:rsidRPr="002A7643" w:rsidRDefault="00F703BA" w:rsidP="002A764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Заявление Верховного Совета Республики Узбекистан о провозглашении независимости, 31 августа 1991 года.</w:t>
      </w:r>
    </w:p>
    <w:p w:rsidR="00F703BA" w:rsidRPr="002A7643" w:rsidRDefault="00F703BA" w:rsidP="002A764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Закон Республики Узбекистан «Об основах независимости Закон Республики Узбекистан», 31 августа 1991 года.</w:t>
      </w:r>
    </w:p>
    <w:p w:rsidR="00F703BA" w:rsidRPr="002A7643" w:rsidRDefault="00F703BA" w:rsidP="002A764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Закон Республики Узбекистан «Об общественных объединениях».</w:t>
      </w:r>
    </w:p>
    <w:p w:rsidR="00F703BA" w:rsidRPr="002A7643" w:rsidRDefault="00F703BA" w:rsidP="002A764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Закон Республики Узбекистан «О средствах массовой информации».</w:t>
      </w:r>
    </w:p>
    <w:p w:rsidR="00F703BA" w:rsidRPr="002A7643" w:rsidRDefault="00F703BA" w:rsidP="002A764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Закон Республики Узбекистан «Об основных принципах внешнеполитической деятельности Республики Узбекистан».</w:t>
      </w:r>
    </w:p>
    <w:p w:rsidR="00F703BA" w:rsidRPr="002A7643" w:rsidRDefault="00F703BA" w:rsidP="002A764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Закон Республики Узбекистан «О международных договорах Республики Узбекистан».</w:t>
      </w:r>
    </w:p>
    <w:p w:rsidR="00F703BA" w:rsidRPr="002A7643" w:rsidRDefault="00F703BA" w:rsidP="002A764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2" w:firstLine="0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Закон Республики Узбекистан «Об обороне».</w:t>
      </w:r>
    </w:p>
    <w:p w:rsidR="00F703BA" w:rsidRPr="002A7643" w:rsidRDefault="00F703BA" w:rsidP="002A7643">
      <w:pPr>
        <w:tabs>
          <w:tab w:val="num" w:pos="0"/>
        </w:tabs>
        <w:spacing w:line="360" w:lineRule="auto"/>
        <w:ind w:right="-2"/>
        <w:jc w:val="both"/>
        <w:rPr>
          <w:sz w:val="28"/>
          <w:szCs w:val="28"/>
        </w:rPr>
      </w:pPr>
      <w:r w:rsidRPr="002A7643">
        <w:rPr>
          <w:sz w:val="28"/>
          <w:szCs w:val="28"/>
        </w:rPr>
        <w:t>Закон Республики Узбекистан «О военной доктрине Республики Узбекистан».</w:t>
      </w:r>
      <w:bookmarkStart w:id="0" w:name="_GoBack"/>
      <w:bookmarkEnd w:id="0"/>
    </w:p>
    <w:sectPr w:rsidR="00F703BA" w:rsidRPr="002A7643" w:rsidSect="002A764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TA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10DE8"/>
    <w:multiLevelType w:val="multilevel"/>
    <w:tmpl w:val="6EB8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F01A5D"/>
    <w:multiLevelType w:val="singleLevel"/>
    <w:tmpl w:val="183ADC2C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3BA"/>
    <w:rsid w:val="002A7643"/>
    <w:rsid w:val="008052A0"/>
    <w:rsid w:val="008179DA"/>
    <w:rsid w:val="00F16E61"/>
    <w:rsid w:val="00F7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7A2E51-3C51-46A3-B2ED-CD94DA48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BA"/>
  </w:style>
  <w:style w:type="paragraph" w:styleId="1">
    <w:name w:val="heading 1"/>
    <w:basedOn w:val="a"/>
    <w:next w:val="a"/>
    <w:link w:val="10"/>
    <w:uiPriority w:val="9"/>
    <w:qFormat/>
    <w:rsid w:val="00F703BA"/>
    <w:pPr>
      <w:keepNext/>
      <w:widowControl w:val="0"/>
      <w:autoSpaceDE w:val="0"/>
      <w:autoSpaceDN w:val="0"/>
      <w:adjustRightInd w:val="0"/>
      <w:ind w:left="426" w:right="1400"/>
      <w:jc w:val="center"/>
      <w:outlineLvl w:val="0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F703BA"/>
    <w:pPr>
      <w:ind w:firstLine="720"/>
      <w:jc w:val="both"/>
    </w:pPr>
    <w:rPr>
      <w:sz w:val="30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2">
    <w:name w:val="Body Text Indent 2"/>
    <w:basedOn w:val="a"/>
    <w:link w:val="20"/>
    <w:uiPriority w:val="99"/>
    <w:rsid w:val="00F703BA"/>
    <w:pPr>
      <w:widowControl w:val="0"/>
      <w:autoSpaceDE w:val="0"/>
      <w:autoSpaceDN w:val="0"/>
      <w:adjustRightInd w:val="0"/>
      <w:ind w:firstLine="567"/>
      <w:jc w:val="both"/>
    </w:pPr>
    <w:rPr>
      <w:rFonts w:ascii="BalticaTAD" w:hAnsi="BalticaTAD"/>
      <w:sz w:val="24"/>
    </w:rPr>
  </w:style>
  <w:style w:type="character" w:customStyle="1" w:styleId="20">
    <w:name w:val="Основной текст с отступом 2 Знак"/>
    <w:link w:val="2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Верховенство Конституции и закона</vt:lpstr>
    </vt:vector>
  </TitlesOfParts>
  <Company>Home</Company>
  <LinksUpToDate>false</LinksUpToDate>
  <CharactersWithSpaces>21011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Верховенство Конституции и закона</dc:title>
  <dc:subject/>
  <dc:creator>Yusufboy</dc:creator>
  <cp:keywords/>
  <dc:description/>
  <cp:lastModifiedBy>admin</cp:lastModifiedBy>
  <cp:revision>2</cp:revision>
  <dcterms:created xsi:type="dcterms:W3CDTF">2014-02-23T16:37:00Z</dcterms:created>
  <dcterms:modified xsi:type="dcterms:W3CDTF">2014-02-23T16:37:00Z</dcterms:modified>
</cp:coreProperties>
</file>