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6E" w:rsidRDefault="002B0840">
      <w:pPr>
        <w:jc w:val="center"/>
        <w:rPr>
          <w:b/>
          <w:bCs/>
          <w:spacing w:val="20"/>
          <w:position w:val="6"/>
          <w:sz w:val="28"/>
        </w:rPr>
      </w:pPr>
      <w:r>
        <w:rPr>
          <w:b/>
          <w:bCs/>
          <w:spacing w:val="20"/>
          <w:position w:val="6"/>
          <w:sz w:val="28"/>
        </w:rPr>
        <w:t>- Введение -</w:t>
      </w:r>
    </w:p>
    <w:p w:rsidR="00991F6E" w:rsidRDefault="002B0840">
      <w:pPr>
        <w:ind w:firstLine="720"/>
        <w:jc w:val="both"/>
      </w:pPr>
      <w:r>
        <w:t>Современная нефтяная компания - это нечто большее, чем сложнейшие высокие технологии на всех стадиях от разведки</w:t>
      </w:r>
      <w:r>
        <w:rPr>
          <w:lang w:val="en-US"/>
        </w:rPr>
        <w:t xml:space="preserve"> </w:t>
      </w:r>
      <w:r>
        <w:t xml:space="preserve"> месторождений до транспортировки и переработки нефти плюс не менее сложная система управления и принятия решений. Крупная</w:t>
      </w:r>
      <w:r>
        <w:rPr>
          <w:lang w:val="en-US"/>
        </w:rPr>
        <w:t xml:space="preserve"> </w:t>
      </w:r>
      <w:r>
        <w:t xml:space="preserve"> нефтяная компания сегодня - это прежде всего высочайшая ответственность, поскольку ее сверхзадача - бережное использование</w:t>
      </w:r>
      <w:r>
        <w:rPr>
          <w:lang w:val="en-US"/>
        </w:rPr>
        <w:t xml:space="preserve"> </w:t>
      </w:r>
      <w:r>
        <w:t xml:space="preserve"> подземных богатств, эффективное превращение их в необходимый потребителю конечный продукт и его своевременная доставка по</w:t>
      </w:r>
      <w:r>
        <w:rPr>
          <w:lang w:val="en-US"/>
        </w:rPr>
        <w:t xml:space="preserve"> </w:t>
      </w:r>
      <w:r>
        <w:t xml:space="preserve"> назначению. Масштаб этой деятельности - в прямом географическом смысле и в финансовом измерении - столь велик, что неизбежно</w:t>
      </w:r>
      <w:r>
        <w:rPr>
          <w:lang w:val="en-US"/>
        </w:rPr>
        <w:t xml:space="preserve"> </w:t>
      </w:r>
      <w:r>
        <w:t xml:space="preserve"> воздействует на жизнь всей страны, а иногда и планеты. Хорошо известно, под каким пристальным (и иногда и пристрастным)</w:t>
      </w:r>
      <w:r>
        <w:rPr>
          <w:lang w:val="en-US"/>
        </w:rPr>
        <w:t xml:space="preserve"> </w:t>
      </w:r>
      <w:r>
        <w:t xml:space="preserve">  вниманием прессы, экологов, просто активных граждан работает вся нефтяная отрасль. Не стоит забывать и про ответственность</w:t>
      </w:r>
      <w:r>
        <w:rPr>
          <w:lang w:val="en-US"/>
        </w:rPr>
        <w:t xml:space="preserve"> </w:t>
      </w:r>
      <w:r>
        <w:t xml:space="preserve"> компании перед своими акционерами.</w:t>
      </w:r>
      <w:r>
        <w:rPr>
          <w:lang w:val="en-US"/>
        </w:rPr>
        <w:t xml:space="preserve"> </w:t>
      </w:r>
    </w:p>
    <w:p w:rsidR="00991F6E" w:rsidRDefault="002B0840">
      <w:pPr>
        <w:ind w:firstLine="720"/>
        <w:jc w:val="both"/>
      </w:pPr>
      <w:r>
        <w:t>Требования и принципы устойчивого развития крупных промышленных, в том числе нефтяных компаний стали сейчас актуальными для большинства стран мирового сообщества. Но можно ли их применить к условиям России, находящейся в переходном периоде к рыночному хозяйству? Опыт крупнейшей нефтяной компании России «ЛУКойл» говорит, что это не только можно, но и нужно. Что переход к устойчивому развитию крупных промышленных, в том числе нефтяных компаний - основной путь для российской экономики.</w:t>
      </w:r>
    </w:p>
    <w:p w:rsidR="00991F6E" w:rsidRDefault="00991F6E">
      <w:pPr>
        <w:ind w:firstLine="720"/>
        <w:jc w:val="both"/>
      </w:pPr>
    </w:p>
    <w:p w:rsidR="00991F6E" w:rsidRDefault="00991F6E">
      <w:pPr>
        <w:ind w:left="2160" w:firstLine="720"/>
        <w:jc w:val="both"/>
      </w:pPr>
    </w:p>
    <w:p w:rsidR="00991F6E" w:rsidRDefault="002B0840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Глава 1. Общая характеристика НК «ЛУКойл»</w:t>
      </w:r>
    </w:p>
    <w:p w:rsidR="00991F6E" w:rsidRDefault="002B0840">
      <w:pPr>
        <w:pStyle w:val="BodyTex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§1. ЛУКойл –ведущая вертикально интегрированная НК</w:t>
      </w:r>
    </w:p>
    <w:p w:rsidR="00991F6E" w:rsidRDefault="002B0840">
      <w:pPr>
        <w:pStyle w:val="BodyText"/>
        <w:ind w:firstLine="720"/>
      </w:pPr>
      <w:r>
        <w:t xml:space="preserve">НК «ЛУКойл» - ведущая вертикально-интегрированная нефтяная компания в России. На ее долю приходится 17,5% добычи нефти и 11% нефтепереработки в стране. По объему реализации за 1996 г. компания занимает третье место в рейтинге журнала "Эксперт". </w:t>
      </w:r>
    </w:p>
    <w:p w:rsidR="00991F6E" w:rsidRDefault="002B0840">
      <w:pPr>
        <w:ind w:firstLine="720"/>
        <w:jc w:val="both"/>
      </w:pPr>
      <w:r>
        <w:t>Число занятых по состоянию на 01.01.1998 г. – 141 тыс. чел.</w:t>
      </w:r>
    </w:p>
    <w:p w:rsidR="00991F6E" w:rsidRDefault="002B0840">
      <w:pPr>
        <w:ind w:firstLine="720"/>
        <w:jc w:val="both"/>
      </w:pPr>
      <w:r>
        <w:t>Акционирование:</w:t>
      </w:r>
    </w:p>
    <w:p w:rsidR="00991F6E" w:rsidRDefault="002B0840">
      <w:pPr>
        <w:jc w:val="both"/>
      </w:pPr>
      <w:r>
        <w:t xml:space="preserve">Уставный капитал на 01.02.1998г.: </w:t>
      </w:r>
      <w:r>
        <w:tab/>
        <w:t>18 664,081 млн. руб.</w:t>
      </w:r>
    </w:p>
    <w:p w:rsidR="00991F6E" w:rsidRDefault="002B0840">
      <w:pPr>
        <w:jc w:val="both"/>
      </w:pPr>
      <w:r>
        <w:t>Выпущено акций номиналом 25 руб.:</w:t>
      </w:r>
    </w:p>
    <w:p w:rsidR="00991F6E" w:rsidRDefault="002B0840">
      <w:pPr>
        <w:jc w:val="both"/>
      </w:pPr>
      <w:r>
        <w:t>· обыкновенных</w:t>
      </w:r>
      <w:r>
        <w:tab/>
      </w:r>
      <w:r>
        <w:tab/>
      </w:r>
      <w:r>
        <w:tab/>
      </w:r>
      <w:r>
        <w:tab/>
        <w:t>669 351 391 шт.</w:t>
      </w:r>
    </w:p>
    <w:p w:rsidR="00991F6E" w:rsidRDefault="002B0840">
      <w:pPr>
        <w:pStyle w:val="BodyText"/>
      </w:pPr>
      <w:r>
        <w:t xml:space="preserve">· привилегированных </w:t>
      </w:r>
      <w:r>
        <w:tab/>
      </w:r>
      <w:r>
        <w:tab/>
      </w:r>
      <w:r>
        <w:tab/>
        <w:t>77 211 864 шт.</w:t>
      </w:r>
    </w:p>
    <w:p w:rsidR="00991F6E" w:rsidRDefault="00A910BE">
      <w:pPr>
        <w:ind w:firstLine="720"/>
        <w:jc w:val="both"/>
      </w:pPr>
      <w:r>
        <w:rPr>
          <w:noProof/>
          <w:lang w:val="en-US"/>
        </w:rPr>
        <w:pict>
          <v:line id="_x0000_s1176" style="position:absolute;left:0;text-align:left;z-index:251705344" from="0,13.2pt" to="252pt,13.2pt"/>
        </w:pict>
      </w:r>
      <w:r>
        <w:rPr>
          <w:noProof/>
          <w:lang w:val="en-US"/>
        </w:rPr>
        <w:pict>
          <v:line id="_x0000_s1177" style="position:absolute;left:0;text-align:left;z-index:251706368" from="243pt,4.2pt" to="243pt,121.2pt"/>
        </w:pict>
      </w:r>
      <w:r w:rsidR="002B0840">
        <w:t>Держатели акций (на 1.01.1998г.):</w:t>
      </w:r>
    </w:p>
    <w:p w:rsidR="00991F6E" w:rsidRDefault="002B0840">
      <w:pPr>
        <w:jc w:val="both"/>
      </w:pPr>
      <w:r>
        <w:t>· Bank of New York (номинальный держатель) -</w:t>
      </w:r>
      <w:r>
        <w:tab/>
        <w:t xml:space="preserve"> 24,91%;</w:t>
      </w:r>
    </w:p>
    <w:p w:rsidR="00991F6E" w:rsidRDefault="002B0840">
      <w:pPr>
        <w:jc w:val="both"/>
      </w:pPr>
      <w:r>
        <w:t xml:space="preserve">· другие иностранные юридические лица - </w:t>
      </w:r>
      <w:r>
        <w:tab/>
        <w:t xml:space="preserve"> 10,17%; </w:t>
      </w:r>
    </w:p>
    <w:p w:rsidR="00991F6E" w:rsidRDefault="002B0840">
      <w:pPr>
        <w:jc w:val="both"/>
      </w:pPr>
      <w:r>
        <w:t xml:space="preserve">· государство - </w:t>
      </w:r>
      <w:r>
        <w:tab/>
      </w:r>
      <w:r>
        <w:tab/>
      </w:r>
      <w:r>
        <w:tab/>
      </w:r>
      <w:r>
        <w:tab/>
      </w:r>
      <w:r>
        <w:tab/>
        <w:t xml:space="preserve"> 26,57%;</w:t>
      </w:r>
    </w:p>
    <w:p w:rsidR="00991F6E" w:rsidRDefault="002B0840">
      <w:pPr>
        <w:jc w:val="both"/>
      </w:pPr>
      <w:r>
        <w:t xml:space="preserve">· ИК "НИКойл" - </w:t>
      </w:r>
      <w:r>
        <w:tab/>
      </w:r>
      <w:r>
        <w:tab/>
      </w:r>
      <w:r>
        <w:tab/>
      </w:r>
      <w:r>
        <w:tab/>
      </w:r>
      <w:r>
        <w:tab/>
        <w:t xml:space="preserve"> 10,53%;</w:t>
      </w:r>
    </w:p>
    <w:p w:rsidR="00991F6E" w:rsidRDefault="002B0840">
      <w:pPr>
        <w:jc w:val="both"/>
      </w:pPr>
      <w:r>
        <w:t>· НПФ "ЛУКОЙЛ-гарант" –</w:t>
      </w:r>
      <w:r>
        <w:tab/>
      </w:r>
      <w:r>
        <w:tab/>
      </w:r>
      <w:r>
        <w:tab/>
      </w:r>
      <w:r>
        <w:tab/>
        <w:t xml:space="preserve"> 7,29%;</w:t>
      </w:r>
    </w:p>
    <w:p w:rsidR="00991F6E" w:rsidRDefault="002B0840">
      <w:pPr>
        <w:jc w:val="both"/>
      </w:pPr>
      <w:r>
        <w:t>· ДК "НИКойл" (номинальный держатель) –</w:t>
      </w:r>
      <w:r>
        <w:tab/>
        <w:t xml:space="preserve"> 7,26%;</w:t>
      </w:r>
    </w:p>
    <w:p w:rsidR="00991F6E" w:rsidRDefault="002B0840">
      <w:pPr>
        <w:jc w:val="both"/>
      </w:pPr>
      <w:r>
        <w:t xml:space="preserve">· другие российские юридические лица – </w:t>
      </w:r>
      <w:r>
        <w:tab/>
      </w:r>
      <w:r>
        <w:tab/>
        <w:t xml:space="preserve"> 11,01%;</w:t>
      </w:r>
    </w:p>
    <w:p w:rsidR="00991F6E" w:rsidRDefault="002B0840">
      <w:pPr>
        <w:jc w:val="both"/>
      </w:pPr>
      <w:r>
        <w:t xml:space="preserve">· физические лица – </w:t>
      </w:r>
      <w:r>
        <w:tab/>
      </w:r>
      <w:r>
        <w:tab/>
      </w:r>
      <w:r>
        <w:tab/>
      </w:r>
      <w:r>
        <w:tab/>
      </w:r>
      <w:r>
        <w:tab/>
        <w:t xml:space="preserve">  4,26%.</w:t>
      </w:r>
    </w:p>
    <w:p w:rsidR="00991F6E" w:rsidRDefault="002B0840">
      <w:pPr>
        <w:jc w:val="both"/>
      </w:pPr>
      <w:r>
        <w:t xml:space="preserve">              НК ЛУКОЙЛ первой среди российских нефтяных компаний завершила в 1997 г. переход на единую акцию. </w:t>
      </w:r>
    </w:p>
    <w:p w:rsidR="00991F6E" w:rsidRDefault="00991F6E">
      <w:pPr>
        <w:jc w:val="both"/>
      </w:pPr>
    </w:p>
    <w:p w:rsidR="00991F6E" w:rsidRDefault="002B0840">
      <w:pPr>
        <w:jc w:val="both"/>
        <w:rPr>
          <w:lang w:val="en-US"/>
        </w:rPr>
      </w:pPr>
      <w:r>
        <w:t xml:space="preserve">              Компания создана в апреле 1993 г. на основе государственного концерна Лангепас-Урай-Когалымнефтегаз. В 1995 г.</w:t>
      </w:r>
      <w:r>
        <w:rPr>
          <w:lang w:val="en-US"/>
        </w:rPr>
        <w:t xml:space="preserve"> </w:t>
      </w:r>
      <w:r>
        <w:t>постановлением правительства к ней были присоединены еще четыре добывающие компании и ряд сбытовых и сервисных</w:t>
      </w:r>
      <w:r>
        <w:rPr>
          <w:lang w:val="en-US"/>
        </w:rPr>
        <w:t xml:space="preserve"> </w:t>
      </w:r>
      <w:r>
        <w:t>предприятий.</w:t>
      </w:r>
      <w:r>
        <w:rPr>
          <w:lang w:val="en-US"/>
        </w:rPr>
        <w:t xml:space="preserve"> </w:t>
      </w:r>
      <w:r>
        <w:t>Сейчас в состав консолидированной группы ЛУКОЙЛ входят 24 предприятия, из них: 6 нефтегазодобывающих - ООО "ЛУКОЙЛ-Западная Сибирь", ОАО "ЛУКОЙЛ-Пермнефть", ЗАО "ЛУКОЙЛ-Пермь", ОАО "ЛУКОЙЛ-Нижневолжнскнефть", ОАО"ЛУКОЙЛ-Калининградморнефть", ОАО "ЛУКОЙЛ-Астрахньморнефть"; 2 нефтеперерабатывающих завода – ООО"ЛУКОЙЛ–Волгограднефтепереработка" и ООО "ЛУКОЙЛ-Пермнефтеоргсинтез", нефтесбытовые и сервисные предприятия. (См. Схему 1.) Кроме</w:t>
      </w:r>
      <w:r>
        <w:rPr>
          <w:lang w:val="en-US"/>
        </w:rPr>
        <w:t xml:space="preserve"> </w:t>
      </w:r>
      <w:r>
        <w:t>того, ЛУКОЙЛУ принадлежит более 100 дочерних компаний и совместных предприятий, не входящих в консолидированную</w:t>
      </w:r>
      <w:r>
        <w:rPr>
          <w:lang w:val="en-US"/>
        </w:rPr>
        <w:t xml:space="preserve"> </w:t>
      </w:r>
      <w:r>
        <w:t>группу. ЛУКОЙЛ владеет крупнейшими запасами нефти и газа в мире среди частных компаний; на начало 1997 г. Доказанные</w:t>
      </w:r>
      <w:r>
        <w:rPr>
          <w:lang w:val="en-US"/>
        </w:rPr>
        <w:t xml:space="preserve"> </w:t>
      </w:r>
      <w:r>
        <w:t>запасы компании на территории России составили более 1,5 млрд. тонн., общие запасы нефти превышают 2,3 млрд. т.  В январе</w:t>
      </w:r>
      <w:r>
        <w:rPr>
          <w:lang w:val="en-US"/>
        </w:rPr>
        <w:t xml:space="preserve"> </w:t>
      </w:r>
      <w:r>
        <w:t>1998 г. НК ЛУКОЙЛ провела переговоры с компанией "Miller &amp; Lents" по поводу аудита запасов ЛУКОЙЛа вне России. Руководство</w:t>
      </w:r>
      <w:r>
        <w:rPr>
          <w:lang w:val="en-US"/>
        </w:rPr>
        <w:t xml:space="preserve"> </w:t>
      </w:r>
      <w:r>
        <w:t>ЛУКОЙЛа надеется, что после проведения оценки доказанные запасы компании возрастут в 1,5 раза.</w:t>
      </w:r>
    </w:p>
    <w:p w:rsidR="00991F6E" w:rsidRDefault="002B0840">
      <w:pPr>
        <w:jc w:val="both"/>
      </w:pPr>
      <w:r>
        <w:t xml:space="preserve">              Темпы развития компании в последние годы опережают средние российские и отраслевые показатели, что усиливает</w:t>
      </w:r>
      <w:r>
        <w:rPr>
          <w:lang w:val="en-US"/>
        </w:rPr>
        <w:t xml:space="preserve"> </w:t>
      </w:r>
      <w:r>
        <w:t>конкурентоспособные позиции НК ЛУКОЙЛ и ее роль в российской экономике. В последние годы компания усиливает свои позиции</w:t>
      </w:r>
      <w:r>
        <w:rPr>
          <w:lang w:val="en-US"/>
        </w:rPr>
        <w:t xml:space="preserve"> </w:t>
      </w:r>
      <w:r>
        <w:t>за рубежом, стремясь стать полноценной транснациональной корпорацией. В настоящее время нефтяная компания имеет доли в</w:t>
      </w:r>
      <w:r>
        <w:rPr>
          <w:lang w:val="en-US"/>
        </w:rPr>
        <w:t xml:space="preserve"> </w:t>
      </w:r>
      <w:r>
        <w:t>международных проектах на шельфе Каспия, в Казахстане, Египте, Тунисе. В марте 1997 г. компания получила 52,5% в</w:t>
      </w:r>
      <w:r>
        <w:rPr>
          <w:lang w:val="en-US"/>
        </w:rPr>
        <w:t xml:space="preserve"> </w:t>
      </w:r>
      <w:r>
        <w:t>соглашении о разделе продукции по разработке крупнейшего в Ираке месторождения нефти Западная Курна.</w:t>
      </w:r>
    </w:p>
    <w:p w:rsidR="00991F6E" w:rsidRDefault="002B0840">
      <w:pPr>
        <w:jc w:val="both"/>
      </w:pPr>
      <w:r>
        <w:t xml:space="preserve">              Большую часть в общей добыче НК ЛУКОЙЛ составляет нефть, добываемая в Западной Сибири (почти 80%). В 1997 г.</w:t>
      </w:r>
      <w:r>
        <w:rPr>
          <w:lang w:val="en-US"/>
        </w:rPr>
        <w:t xml:space="preserve"> </w:t>
      </w:r>
      <w:r>
        <w:t>увеличилась доля нефти, добываемой совместными предприятиями (9%) и за рубежом (0,9%). Себестоимость нефти НК – одна из</w:t>
      </w:r>
      <w:r>
        <w:rPr>
          <w:lang w:val="en-US"/>
        </w:rPr>
        <w:t xml:space="preserve"> </w:t>
      </w:r>
      <w:r>
        <w:t>самых низких в стране.</w:t>
      </w:r>
      <w:r>
        <w:rPr>
          <w:lang w:val="en-US"/>
        </w:rPr>
        <w:t xml:space="preserve"> </w:t>
      </w:r>
    </w:p>
    <w:p w:rsidR="00991F6E" w:rsidRDefault="002B0840">
      <w:pPr>
        <w:jc w:val="both"/>
      </w:pPr>
      <w:r>
        <w:t xml:space="preserve">              С 1995 г. добыча нефти НК ЛУКОЙЛ росла, но в текущем году увеличения добычи не ожидается в связи с неблагоприятной</w:t>
      </w:r>
      <w:r>
        <w:rPr>
          <w:lang w:val="en-US"/>
        </w:rPr>
        <w:t xml:space="preserve"> </w:t>
      </w:r>
      <w:r>
        <w:t>конъюнктурой – резким понижением мировых цен на нефть.</w:t>
      </w:r>
      <w:r>
        <w:rPr>
          <w:lang w:val="en-US"/>
        </w:rPr>
        <w:t xml:space="preserve"> </w:t>
      </w:r>
    </w:p>
    <w:p w:rsidR="00991F6E" w:rsidRDefault="00A910BE">
      <w:pPr>
        <w:pStyle w:val="Heading2"/>
        <w:jc w:val="left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noProof/>
          <w:sz w:val="20"/>
          <w:lang w:val="en-US"/>
        </w:rPr>
        <w:pict>
          <v:rect id="_x0000_s1068" style="position:absolute;margin-left:189pt;margin-top:1.25pt;width:81pt;height:27pt;z-index:-251689984" strokeweight="3pt">
            <v:stroke linestyle="thinThin"/>
          </v:rect>
        </w:pict>
      </w:r>
      <w:r w:rsidR="002B0840">
        <w:rPr>
          <w:b/>
          <w:bCs/>
          <w:i w:val="0"/>
          <w:iCs w:val="0"/>
          <w:sz w:val="20"/>
        </w:rPr>
        <w:t xml:space="preserve"> </w:t>
      </w:r>
    </w:p>
    <w:p w:rsidR="00991F6E" w:rsidRDefault="002B0840">
      <w:pPr>
        <w:pStyle w:val="Heading5"/>
        <w:rPr>
          <w:i w:val="0"/>
          <w:iCs w:val="0"/>
          <w:spacing w:val="20"/>
          <w:sz w:val="22"/>
        </w:rPr>
      </w:pPr>
      <w:r>
        <w:rPr>
          <w:i w:val="0"/>
          <w:iCs w:val="0"/>
          <w:spacing w:val="20"/>
          <w:sz w:val="22"/>
        </w:rPr>
        <w:t>ЛУКойл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u w:val="single"/>
          <w:lang w:val="en-US"/>
        </w:rPr>
        <w:pict>
          <v:line id="_x0000_s1073" style="position:absolute;z-index:251629568" from="4in,11.05pt" to="4in,292.45pt"/>
        </w:pict>
      </w:r>
      <w:r>
        <w:rPr>
          <w:noProof/>
          <w:sz w:val="20"/>
          <w:lang w:val="en-US"/>
        </w:rPr>
        <w:pict>
          <v:line id="_x0000_s1101" style="position:absolute;z-index:251650048" from="225pt,4.45pt" to="225pt,13.45pt">
            <v:stroke endarrow="block"/>
          </v:line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u w:val="single"/>
          <w:lang w:val="en-US"/>
        </w:rPr>
        <w:pict>
          <v:line id="_x0000_s1071" style="position:absolute;left:0;text-align:left;z-index:251628544" from="9pt,-.45pt" to="9pt,260.55pt"/>
        </w:pict>
      </w:r>
      <w:r>
        <w:rPr>
          <w:noProof/>
          <w:sz w:val="20"/>
          <w:u w:val="single"/>
          <w:lang w:val="en-US"/>
        </w:rPr>
        <w:pict>
          <v:line id="_x0000_s1074" style="position:absolute;left:0;text-align:left;z-index:251630592" from="2in,-.45pt" to="2in,224.55pt"/>
        </w:pict>
      </w:r>
      <w:r>
        <w:rPr>
          <w:noProof/>
          <w:sz w:val="20"/>
          <w:u w:val="single"/>
          <w:lang w:val="en-US"/>
        </w:rPr>
        <w:pict>
          <v:line id="_x0000_s1070" style="position:absolute;left:0;text-align:left;z-index:251627520" from="9pt,-.45pt" to="4in,-.45pt"/>
        </w:pict>
      </w:r>
      <w:r w:rsidR="002B0840">
        <w:rPr>
          <w:sz w:val="20"/>
          <w:u w:val="single"/>
        </w:rPr>
        <w:t>Нефтедобыча: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Производство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Нефтеродукто-</w:t>
      </w:r>
      <w:r w:rsidR="002B0840">
        <w:rPr>
          <w:sz w:val="20"/>
        </w:rPr>
        <w:tab/>
      </w:r>
      <w:r w:rsidR="002B0840">
        <w:rPr>
          <w:sz w:val="20"/>
        </w:rPr>
        <w:tab/>
      </w:r>
    </w:p>
    <w:p w:rsidR="00991F6E" w:rsidRDefault="002B084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Нефтепродуктов: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обеспечение:</w:t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rect id="_x0000_s1058" style="position:absolute;margin-left:315pt;margin-top:3.55pt;width:99pt;height:36pt;z-index:-251698176"/>
        </w:pict>
      </w:r>
      <w:r>
        <w:rPr>
          <w:noProof/>
          <w:sz w:val="20"/>
          <w:lang w:val="en-US"/>
        </w:rPr>
        <w:pict>
          <v:rect id="_x0000_s1056" style="position:absolute;margin-left:171pt;margin-top:3.55pt;width:99pt;height:36pt;z-index:-251700224"/>
        </w:pict>
      </w:r>
      <w:r>
        <w:rPr>
          <w:noProof/>
          <w:sz w:val="20"/>
          <w:lang w:val="en-US"/>
        </w:rPr>
        <w:pict>
          <v:rect id="_x0000_s1031" style="position:absolute;margin-left:27pt;margin-top:3.55pt;width:90pt;height:36pt;z-index:-251707392"/>
        </w:pic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97" style="position:absolute;left:0;text-align:left;z-index:251648000" from="2in,10.05pt" to="171pt,10.05pt"/>
        </w:pict>
      </w:r>
      <w:r>
        <w:rPr>
          <w:noProof/>
          <w:sz w:val="20"/>
          <w:lang w:val="en-US"/>
        </w:rPr>
        <w:pict>
          <v:line id="_x0000_s1094" style="position:absolute;left:0;text-align:left;z-index:251646976" from="9pt,10.05pt" to="27pt,10.05pt"/>
        </w:pict>
      </w:r>
      <w:r>
        <w:rPr>
          <w:noProof/>
          <w:sz w:val="20"/>
          <w:lang w:val="en-US"/>
        </w:rPr>
        <w:pict>
          <v:line id="_x0000_s1086" style="position:absolute;left:0;text-align:left;z-index:251639808" from="4in,10.05pt" to="315pt,10.05pt"/>
        </w:pict>
      </w:r>
      <w:r w:rsidR="002B0840">
        <w:rPr>
          <w:sz w:val="20"/>
        </w:rPr>
        <w:t>ЛУКойл-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ЛУКойл-Волгоград-</w:t>
      </w:r>
      <w:r w:rsidR="002B0840">
        <w:rPr>
          <w:sz w:val="20"/>
        </w:rPr>
        <w:tab/>
      </w:r>
      <w:r w:rsidR="002B0840">
        <w:rPr>
          <w:sz w:val="20"/>
        </w:rPr>
        <w:tab/>
        <w:t>ЛУКойл-Фбадзех-</w:t>
      </w:r>
    </w:p>
    <w:p w:rsidR="00991F6E" w:rsidRDefault="002B0840">
      <w:pPr>
        <w:ind w:firstLine="720"/>
        <w:rPr>
          <w:sz w:val="20"/>
        </w:rPr>
      </w:pPr>
      <w:r>
        <w:rPr>
          <w:sz w:val="20"/>
        </w:rPr>
        <w:t>Астраханьнефть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нефтепереработка</w:t>
      </w:r>
      <w:r>
        <w:rPr>
          <w:sz w:val="20"/>
        </w:rPr>
        <w:tab/>
      </w:r>
      <w:r>
        <w:rPr>
          <w:sz w:val="20"/>
        </w:rPr>
        <w:tab/>
        <w:t>нефтепродукт</w:t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rect id="_x0000_s1059" style="position:absolute;margin-left:315pt;margin-top:5.05pt;width:99pt;height:36pt;z-index:-251697152"/>
        </w:pict>
      </w:r>
      <w:r>
        <w:rPr>
          <w:noProof/>
          <w:sz w:val="20"/>
          <w:lang w:val="en-US"/>
        </w:rPr>
        <w:pict>
          <v:rect id="_x0000_s1057" style="position:absolute;margin-left:171pt;margin-top:5.05pt;width:99pt;height:36pt;z-index:-251699200"/>
        </w:pict>
      </w:r>
      <w:r>
        <w:rPr>
          <w:noProof/>
          <w:sz w:val="20"/>
          <w:lang w:val="en-US"/>
        </w:rPr>
        <w:pict>
          <v:rect id="_x0000_s1032" style="position:absolute;margin-left:27pt;margin-top:5.05pt;width:90pt;height:36pt;z-index:-251706368"/>
        </w:pict>
      </w:r>
    </w:p>
    <w:p w:rsidR="00991F6E" w:rsidRDefault="002B0840">
      <w:pPr>
        <w:ind w:firstLine="720"/>
        <w:rPr>
          <w:sz w:val="20"/>
        </w:rPr>
      </w:pPr>
      <w:r>
        <w:rPr>
          <w:sz w:val="20"/>
        </w:rPr>
        <w:t>ЛУКойл-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ЛУКойл-Пермнеф-</w:t>
      </w:r>
      <w:r>
        <w:rPr>
          <w:sz w:val="20"/>
        </w:rPr>
        <w:tab/>
      </w:r>
      <w:r>
        <w:rPr>
          <w:sz w:val="20"/>
        </w:rPr>
        <w:tab/>
        <w:t>ЛУКойл-Адыгея-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98" style="position:absolute;left:0;text-align:left;z-index:251649024" from="2in,.05pt" to="171pt,.05pt"/>
        </w:pict>
      </w:r>
      <w:r>
        <w:rPr>
          <w:noProof/>
          <w:sz w:val="20"/>
          <w:lang w:val="en-US"/>
        </w:rPr>
        <w:pict>
          <v:line id="_x0000_s1093" style="position:absolute;left:0;text-align:left;z-index:251645952" from="9pt,.05pt" to="27pt,.05pt"/>
        </w:pict>
      </w:r>
      <w:r>
        <w:rPr>
          <w:noProof/>
          <w:sz w:val="20"/>
          <w:lang w:val="en-US"/>
        </w:rPr>
        <w:pict>
          <v:line id="_x0000_s1085" style="position:absolute;left:0;text-align:left;z-index:251638784" from="4in,.05pt" to="315pt,.05pt"/>
        </w:pict>
      </w:r>
      <w:r w:rsidR="002B0840">
        <w:rPr>
          <w:sz w:val="20"/>
        </w:rPr>
        <w:t>Западная Сибирь</w:t>
      </w:r>
      <w:r w:rsidR="002B0840">
        <w:rPr>
          <w:sz w:val="20"/>
        </w:rPr>
        <w:tab/>
      </w:r>
      <w:r w:rsidR="002B0840">
        <w:rPr>
          <w:sz w:val="20"/>
        </w:rPr>
        <w:tab/>
        <w:t>-тегеорг синтез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нефтепродукт</w:t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rect id="_x0000_s1060" style="position:absolute;margin-left:315pt;margin-top:6.55pt;width:99pt;height:36pt;z-index:-251696128"/>
        </w:pict>
      </w:r>
      <w:r>
        <w:rPr>
          <w:noProof/>
          <w:sz w:val="20"/>
          <w:lang w:val="en-US"/>
        </w:rPr>
        <w:pict>
          <v:rect id="_x0000_s1033" style="position:absolute;margin-left:27pt;margin-top:6.55pt;width:90pt;height:45pt;z-index:-251705344"/>
        </w:pict>
      </w:r>
    </w:p>
    <w:p w:rsidR="00991F6E" w:rsidRDefault="002B0840">
      <w:pPr>
        <w:ind w:firstLine="720"/>
        <w:rPr>
          <w:sz w:val="20"/>
        </w:rPr>
      </w:pPr>
      <w:r>
        <w:rPr>
          <w:sz w:val="20"/>
        </w:rPr>
        <w:t>Лангепаснефтегаз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ЛУКойл-Астрахань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92" style="position:absolute;left:0;text-align:left;z-index:251644928" from="9pt,10.55pt" to="27pt,10.55pt"/>
        </w:pict>
      </w:r>
      <w:r>
        <w:rPr>
          <w:noProof/>
          <w:sz w:val="20"/>
          <w:lang w:val="en-US"/>
        </w:rPr>
        <w:pict>
          <v:line id="_x0000_s1084" style="position:absolute;left:0;text-align:left;z-index:251637760" from="4in,1.55pt" to="315pt,1.55pt"/>
        </w:pict>
      </w:r>
      <w:r w:rsidR="002B0840">
        <w:rPr>
          <w:sz w:val="20"/>
        </w:rPr>
        <w:t>Урайнефтегаз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-нефтепродукт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rect id="_x0000_s1061" style="position:absolute;left:0;text-align:left;margin-left:315pt;margin-top:8.05pt;width:99pt;height:36pt;z-index:-251695104"/>
        </w:pict>
      </w:r>
      <w:r w:rsidR="002B0840">
        <w:rPr>
          <w:sz w:val="20"/>
        </w:rPr>
        <w:t>Когалымнефтегаз</w:t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rect id="_x0000_s1051" style="position:absolute;margin-left:27pt;margin-top:5.55pt;width:90pt;height:36pt;z-index:-251704320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ЛУКойл-Волгоград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83" style="position:absolute;left:0;text-align:left;z-index:251636736" from="4in,3.05pt" to="315pt,3.05pt"/>
        </w:pict>
      </w:r>
      <w:r w:rsidR="002B0840">
        <w:rPr>
          <w:sz w:val="20"/>
        </w:rPr>
        <w:t>ЛУКойл-Калинин-</w:t>
      </w:r>
      <w:r w:rsidR="002B0840">
        <w:rPr>
          <w:sz w:val="20"/>
        </w:rPr>
        <w:tab/>
      </w:r>
      <w:r w:rsidR="002B0840">
        <w:rPr>
          <w:sz w:val="20"/>
        </w:rPr>
        <w:tab/>
        <w:t>Нефтепродукто-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-нефтепродукт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91" style="position:absolute;left:0;text-align:left;z-index:251643904" from="9pt,.55pt" to="27pt,.55pt"/>
        </w:pict>
      </w:r>
      <w:r>
        <w:rPr>
          <w:noProof/>
          <w:sz w:val="20"/>
          <w:lang w:val="en-US"/>
        </w:rPr>
        <w:pict>
          <v:rect id="_x0000_s1062" style="position:absolute;left:0;text-align:left;margin-left:315pt;margin-top:9.55pt;width:99pt;height:18pt;z-index:-251694080"/>
        </w:pict>
      </w:r>
      <w:r w:rsidR="002B0840">
        <w:rPr>
          <w:sz w:val="20"/>
        </w:rPr>
        <w:t>-градморнефтегаз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  <w:u w:val="single"/>
        </w:rPr>
        <w:t>обеспечение:</w:t>
      </w:r>
      <w:r w:rsidR="002B0840">
        <w:rPr>
          <w:sz w:val="20"/>
        </w:rPr>
        <w:tab/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line id="_x0000_s1082" style="position:absolute;z-index:251635712" from="4in,7.05pt" to="315pt,7.05pt"/>
        </w:pict>
      </w:r>
      <w:r>
        <w:rPr>
          <w:noProof/>
          <w:sz w:val="20"/>
          <w:lang w:val="en-US"/>
        </w:rPr>
        <w:pict>
          <v:rect id="_x0000_s1052" style="position:absolute;margin-left:27pt;margin-top:7.05pt;width:90pt;height:27pt;z-index:-251703296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ЛУКойл-Дон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rect id="_x0000_s1102" style="position:absolute;left:0;text-align:left;margin-left:171pt;margin-top:7pt;width:99pt;height:18pt;z-index:-251665408"/>
        </w:pict>
      </w:r>
      <w:r>
        <w:rPr>
          <w:noProof/>
          <w:sz w:val="20"/>
          <w:lang w:val="en-US"/>
        </w:rPr>
        <w:pict>
          <v:rect id="_x0000_s1063" style="position:absolute;left:0;text-align:left;margin-left:315pt;margin-top:4.55pt;width:99pt;height:36pt;z-index:-251693056"/>
        </w:pict>
      </w:r>
      <w:r w:rsidR="002B0840">
        <w:rPr>
          <w:sz w:val="20"/>
        </w:rPr>
        <w:t>ЛУКойл-Нижне-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05" style="position:absolute;left:0;text-align:left;z-index:251654144" from="270pt,4.5pt" to="4in,4.5pt"/>
        </w:pict>
      </w:r>
      <w:r>
        <w:rPr>
          <w:noProof/>
          <w:sz w:val="20"/>
          <w:lang w:val="en-US"/>
        </w:rPr>
        <w:pict>
          <v:line id="_x0000_s1090" style="position:absolute;left:0;text-align:left;z-index:251642880" from="9pt,2.05pt" to="27pt,2.05pt"/>
        </w:pict>
      </w:r>
      <w:r w:rsidR="002B0840">
        <w:rPr>
          <w:sz w:val="20"/>
        </w:rPr>
        <w:t>-волжскнефть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ЛУКойл-Ставрополь</w:t>
      </w:r>
      <w:r w:rsidR="002B0840">
        <w:rPr>
          <w:sz w:val="20"/>
        </w:rPr>
        <w:tab/>
      </w:r>
      <w:r w:rsidR="002B0840">
        <w:rPr>
          <w:sz w:val="20"/>
        </w:rPr>
        <w:tab/>
        <w:t>ЛУКойл-Киров-</w:t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rect id="_x0000_s1103" style="position:absolute;margin-left:171pt;margin-top:2pt;width:99pt;height:36pt;z-index:-251664384"/>
        </w:pict>
      </w:r>
      <w:r>
        <w:rPr>
          <w:noProof/>
          <w:sz w:val="20"/>
          <w:lang w:val="en-US"/>
        </w:rPr>
        <w:pict>
          <v:line id="_x0000_s1081" style="position:absolute;z-index:251634688" from="4in,-.45pt" to="315pt,-.45pt"/>
        </w:pict>
      </w:r>
      <w:r>
        <w:rPr>
          <w:noProof/>
          <w:sz w:val="20"/>
          <w:lang w:val="en-US"/>
        </w:rPr>
        <w:pict>
          <v:rect id="_x0000_s1053" style="position:absolute;margin-left:27pt;margin-top:-.45pt;width:90pt;height:27pt;z-index:-251702272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нефтепродукт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04" style="position:absolute;left:0;text-align:left;z-index:251653120" from="270pt,8.5pt" to="4in,8.5pt"/>
        </w:pict>
      </w:r>
      <w:r>
        <w:rPr>
          <w:noProof/>
          <w:sz w:val="20"/>
          <w:lang w:val="en-US"/>
        </w:rPr>
        <w:pict>
          <v:line id="_x0000_s1089" style="position:absolute;left:0;text-align:left;z-index:251641856" from="9pt,6.05pt" to="27pt,6.05pt"/>
        </w:pict>
      </w:r>
      <w:r>
        <w:rPr>
          <w:noProof/>
          <w:sz w:val="20"/>
          <w:lang w:val="en-US"/>
        </w:rPr>
        <w:pict>
          <v:line id="_x0000_s1075" style="position:absolute;left:0;text-align:left;flip:x;z-index:251631616" from="117pt,6.05pt" to="2in,6.05pt"/>
        </w:pict>
      </w:r>
      <w:r>
        <w:rPr>
          <w:noProof/>
          <w:sz w:val="20"/>
          <w:lang w:val="en-US"/>
        </w:rPr>
        <w:pict>
          <v:rect id="_x0000_s1064" style="position:absolute;left:0;text-align:left;margin-left:315pt;margin-top:6.05pt;width:99pt;height:36pt;z-index:-251692032"/>
        </w:pict>
      </w:r>
      <w:r w:rsidR="002B0840">
        <w:rPr>
          <w:sz w:val="20"/>
        </w:rPr>
        <w:t>Коробовский ГПЗ</w:t>
      </w:r>
      <w:r w:rsidR="002B0840">
        <w:rPr>
          <w:sz w:val="20"/>
        </w:rPr>
        <w:tab/>
      </w:r>
      <w:r w:rsidR="002B0840">
        <w:rPr>
          <w:sz w:val="20"/>
        </w:rPr>
        <w:tab/>
        <w:t>ЛУКойл-Челябинск-</w:t>
      </w:r>
    </w:p>
    <w:p w:rsidR="00991F6E" w:rsidRDefault="00A910BE">
      <w:pPr>
        <w:rPr>
          <w:sz w:val="20"/>
        </w:rPr>
      </w:pPr>
      <w:r>
        <w:rPr>
          <w:noProof/>
          <w:sz w:val="20"/>
          <w:lang w:val="en-US"/>
        </w:rPr>
        <w:pict>
          <v:rect id="_x0000_s1054" style="position:absolute;margin-left:27pt;margin-top:3.55pt;width:90pt;height:36pt;z-index:-251701248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-нефтепродукт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ЛУКойл-Пермнеф-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80" style="position:absolute;left:0;text-align:left;z-index:251633664" from="4in,1.05pt" to="315pt,1.05pt"/>
        </w:pict>
      </w:r>
      <w:r w:rsidR="002B0840">
        <w:rPr>
          <w:sz w:val="20"/>
        </w:rPr>
        <w:t>ЛУКойл-Перм-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-тепродукт</w:t>
      </w:r>
    </w:p>
    <w:p w:rsidR="00991F6E" w:rsidRDefault="00A910BE">
      <w:pPr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088" style="position:absolute;left:0;text-align:left;z-index:251640832" from="9pt,7.55pt" to="27pt,7.55pt"/>
        </w:pict>
      </w:r>
      <w:r>
        <w:rPr>
          <w:noProof/>
          <w:sz w:val="20"/>
          <w:lang w:val="en-US"/>
        </w:rPr>
        <w:pict>
          <v:rect id="_x0000_s1065" style="position:absolute;left:0;text-align:left;margin-left:315pt;margin-top:7.55pt;width:99pt;height:36pt;z-index:-251691008"/>
        </w:pict>
      </w:r>
      <w:r w:rsidR="002B0840">
        <w:rPr>
          <w:sz w:val="20"/>
        </w:rPr>
        <w:t>-нефть</w:t>
      </w:r>
      <w:r w:rsidR="002B0840">
        <w:rPr>
          <w:sz w:val="20"/>
        </w:rPr>
        <w:tab/>
      </w:r>
    </w:p>
    <w:p w:rsidR="00991F6E" w:rsidRDefault="002B084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ЛУКойл-Краснодар-</w:t>
      </w:r>
    </w:p>
    <w:p w:rsidR="00991F6E" w:rsidRDefault="002B0840">
      <w:pPr>
        <w:ind w:firstLine="720"/>
        <w:rPr>
          <w:sz w:val="20"/>
        </w:rPr>
      </w:pPr>
      <w:r>
        <w:rPr>
          <w:i/>
          <w:iCs/>
          <w:sz w:val="20"/>
        </w:rPr>
        <w:t>Схема 1. Структура ВИНК ЛУКойл</w:t>
      </w:r>
      <w:r>
        <w:rPr>
          <w:noProof/>
          <w:sz w:val="20"/>
          <w:lang w:val="en-US"/>
        </w:rPr>
        <w:t xml:space="preserve"> </w:t>
      </w:r>
      <w:r w:rsidR="00A910BE">
        <w:rPr>
          <w:noProof/>
          <w:sz w:val="20"/>
          <w:lang w:val="en-US"/>
        </w:rPr>
        <w:pict>
          <v:line id="_x0000_s1079" style="position:absolute;left:0;text-align:left;z-index:251632640;mso-position-horizontal-relative:text;mso-position-vertical-relative:text" from="4in,2.55pt" to="315pt,2.55pt"/>
        </w:pi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Нефтепродукт</w:t>
      </w:r>
    </w:p>
    <w:p w:rsidR="00991F6E" w:rsidRDefault="002B0840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91F6E" w:rsidRDefault="00991F6E">
      <w:pPr>
        <w:pStyle w:val="Heading2"/>
        <w:rPr>
          <w:b/>
          <w:bCs/>
        </w:rPr>
      </w:pPr>
    </w:p>
    <w:p w:rsidR="00991F6E" w:rsidRDefault="002B0840">
      <w:pPr>
        <w:pStyle w:val="Heading2"/>
        <w:rPr>
          <w:b/>
          <w:bCs/>
        </w:rPr>
      </w:pPr>
      <w:r>
        <w:rPr>
          <w:b/>
          <w:bCs/>
        </w:rPr>
        <w:t>§2. Финансовые и производственные показатели</w:t>
      </w:r>
    </w:p>
    <w:p w:rsidR="00991F6E" w:rsidRDefault="00991F6E">
      <w:pPr>
        <w:pStyle w:val="Heading2"/>
        <w:rPr>
          <w:b/>
          <w:bCs/>
          <w:i w:val="0"/>
          <w:iCs w:val="0"/>
          <w:sz w:val="20"/>
        </w:rPr>
      </w:pPr>
    </w:p>
    <w:p w:rsidR="00991F6E" w:rsidRDefault="002B0840">
      <w:pPr>
        <w:pStyle w:val="Heading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1. Производственные показатели НК «ЛУКойл»</w:t>
      </w:r>
    </w:p>
    <w:p w:rsidR="00991F6E" w:rsidRDefault="00991F6E">
      <w:pPr>
        <w:jc w:val="both"/>
      </w:pPr>
    </w:p>
    <w:p w:rsidR="00991F6E" w:rsidRDefault="002B0840">
      <w:pPr>
        <w:ind w:left="3600" w:firstLine="720"/>
        <w:jc w:val="both"/>
        <w:rPr>
          <w:b/>
          <w:bCs/>
          <w:sz w:val="20"/>
        </w:rPr>
      </w:pPr>
      <w:r>
        <w:rPr>
          <w:b/>
          <w:bCs/>
          <w:sz w:val="20"/>
        </w:rPr>
        <w:t>1997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</w:rPr>
        <w:t>1996</w:t>
      </w:r>
      <w:r>
        <w:rPr>
          <w:b/>
          <w:bCs/>
          <w:sz w:val="20"/>
          <w:lang w:val="en-US"/>
        </w:rPr>
        <w:t xml:space="preserve"> 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</w:rPr>
        <w:t>1995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</w:rPr>
        <w:t>1994</w:t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</w:rPr>
        <w:t>1993</w:t>
      </w:r>
    </w:p>
    <w:p w:rsidR="00991F6E" w:rsidRDefault="002B0840">
      <w:pPr>
        <w:jc w:val="both"/>
      </w:pPr>
      <w:r>
        <w:t xml:space="preserve">Добыча нефти и конденсата, млн. т. </w:t>
      </w:r>
      <w:r>
        <w:rPr>
          <w:lang w:val="en-US"/>
        </w:rPr>
        <w:tab/>
      </w:r>
      <w:r>
        <w:t>62.1</w:t>
      </w:r>
      <w:r>
        <w:rPr>
          <w:lang w:val="en-US"/>
        </w:rPr>
        <w:tab/>
      </w:r>
      <w:r>
        <w:t>58.5</w:t>
      </w:r>
      <w:r>
        <w:rPr>
          <w:lang w:val="en-US"/>
        </w:rPr>
        <w:tab/>
      </w:r>
      <w:r>
        <w:t>57.3</w:t>
      </w:r>
      <w:r>
        <w:rPr>
          <w:lang w:val="en-US"/>
        </w:rPr>
        <w:tab/>
      </w:r>
      <w:r>
        <w:t>45.1</w:t>
      </w:r>
      <w:r>
        <w:rPr>
          <w:lang w:val="en-US"/>
        </w:rPr>
        <w:tab/>
      </w:r>
      <w:r>
        <w:t>48.8</w:t>
      </w:r>
    </w:p>
    <w:p w:rsidR="00991F6E" w:rsidRDefault="002B0840">
      <w:pPr>
        <w:jc w:val="both"/>
      </w:pPr>
      <w:r>
        <w:t xml:space="preserve">Переработка нефти, млн. т.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19.8</w:t>
      </w:r>
      <w:r>
        <w:rPr>
          <w:lang w:val="en-US"/>
        </w:rPr>
        <w:tab/>
      </w:r>
      <w:r>
        <w:t>19.3</w:t>
      </w:r>
      <w:r>
        <w:rPr>
          <w:lang w:val="en-US"/>
        </w:rPr>
        <w:tab/>
      </w:r>
      <w:r>
        <w:t>19</w:t>
      </w:r>
      <w:r>
        <w:rPr>
          <w:lang w:val="en-US"/>
        </w:rPr>
        <w:tab/>
      </w:r>
      <w:r>
        <w:t>17.1</w:t>
      </w:r>
      <w:r>
        <w:rPr>
          <w:lang w:val="en-US"/>
        </w:rPr>
        <w:tab/>
      </w:r>
      <w:r>
        <w:t>18.8</w:t>
      </w:r>
    </w:p>
    <w:p w:rsidR="00991F6E" w:rsidRDefault="002B0840">
      <w:pPr>
        <w:jc w:val="both"/>
      </w:pPr>
      <w:r>
        <w:t xml:space="preserve">Экспорт нефти, млн. т.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15.6</w:t>
      </w:r>
      <w:r>
        <w:rPr>
          <w:lang w:val="en-US"/>
        </w:rPr>
        <w:tab/>
      </w:r>
      <w:r>
        <w:t>16.5</w:t>
      </w:r>
      <w:r>
        <w:rPr>
          <w:lang w:val="en-US"/>
        </w:rPr>
        <w:tab/>
      </w:r>
      <w:r>
        <w:t>18.4</w:t>
      </w:r>
      <w:r>
        <w:rPr>
          <w:lang w:val="en-US"/>
        </w:rPr>
        <w:tab/>
      </w:r>
      <w:r>
        <w:t>14.1</w:t>
      </w:r>
      <w:r>
        <w:rPr>
          <w:lang w:val="en-US"/>
        </w:rPr>
        <w:tab/>
      </w:r>
      <w:r>
        <w:t>13.9</w:t>
      </w:r>
    </w:p>
    <w:p w:rsidR="00991F6E" w:rsidRDefault="002B0840">
      <w:pPr>
        <w:jc w:val="both"/>
      </w:pPr>
      <w:r>
        <w:t>Экспорт нефтепродуктов, млн. Т</w:t>
      </w:r>
      <w:r>
        <w:rPr>
          <w:lang w:val="en-US"/>
        </w:rPr>
        <w:tab/>
      </w:r>
      <w:r>
        <w:rPr>
          <w:lang w:val="en-US"/>
        </w:rPr>
        <w:tab/>
      </w:r>
      <w:r>
        <w:t>6</w:t>
      </w:r>
      <w:r>
        <w:rPr>
          <w:lang w:val="en-US"/>
        </w:rPr>
        <w:tab/>
      </w:r>
      <w:r>
        <w:t>4.5</w:t>
      </w:r>
      <w:r>
        <w:rPr>
          <w:lang w:val="en-US"/>
        </w:rPr>
        <w:tab/>
      </w:r>
      <w:r>
        <w:t>2.3</w:t>
      </w:r>
      <w:r>
        <w:rPr>
          <w:lang w:val="en-US"/>
        </w:rPr>
        <w:tab/>
      </w:r>
      <w:r>
        <w:t>3.5</w:t>
      </w:r>
      <w:r>
        <w:rPr>
          <w:lang w:val="en-US"/>
        </w:rPr>
        <w:tab/>
      </w:r>
      <w:r>
        <w:t>3</w:t>
      </w:r>
    </w:p>
    <w:p w:rsidR="00991F6E" w:rsidRDefault="002B0840">
      <w:pPr>
        <w:jc w:val="both"/>
      </w:pPr>
      <w:r>
        <w:t xml:space="preserve">Добыча газа, млрд. куб.м.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3.1</w:t>
      </w:r>
      <w:r>
        <w:rPr>
          <w:lang w:val="en-US"/>
        </w:rPr>
        <w:tab/>
      </w:r>
      <w:r>
        <w:t>3</w:t>
      </w:r>
      <w:r>
        <w:rPr>
          <w:lang w:val="en-US"/>
        </w:rPr>
        <w:tab/>
      </w:r>
      <w:r>
        <w:t>2.9</w:t>
      </w:r>
      <w:r>
        <w:rPr>
          <w:lang w:val="en-US"/>
        </w:rPr>
        <w:tab/>
      </w:r>
      <w:r>
        <w:t>1.8</w:t>
      </w:r>
      <w:r>
        <w:rPr>
          <w:lang w:val="en-US"/>
        </w:rPr>
        <w:tab/>
      </w:r>
      <w:r>
        <w:t>2.2</w:t>
      </w:r>
    </w:p>
    <w:p w:rsidR="00991F6E" w:rsidRDefault="00991F6E">
      <w:pPr>
        <w:jc w:val="both"/>
      </w:pPr>
    </w:p>
    <w:p w:rsidR="00991F6E" w:rsidRDefault="002B0840">
      <w:pPr>
        <w:ind w:firstLine="720"/>
        <w:jc w:val="both"/>
      </w:pPr>
      <w:r>
        <w:t>Как уже было сказано выше, НК «ЛУКойл» включает в себя два российских НПЗ – Волгограднефтепереработка и Пермьнефтеоргсинтез, с общей мощностью 22,7 млн. тонн. Глубина переработки нефти на НПЗ ЛУКОЙЛ в 1997 г. увеличилась до 78% (1996 г. – 71%) при среднеотраслевой           глубине переработки 63,7%. Сохраняется и достаточно высокая загруженность НПЗ компании – около 83%, что близко к международным стандартам и значительно превышает средний по России уровень в 60%.</w:t>
      </w:r>
    </w:p>
    <w:p w:rsidR="00991F6E" w:rsidRDefault="002B0840">
      <w:pPr>
        <w:jc w:val="both"/>
      </w:pPr>
      <w:r>
        <w:t xml:space="preserve">            Объемы нефтедобычи НК «ЛУКойл" намного превосходят объемы переработки, в связи с этим компания стремится к приобретению дополнительных мощностей. В январе 1998 г. компания приобрела контрольный пакет (51%) акций Румынского НПЗ "Петротел" мощностью 4,7 млн. тонн в год, в апреле – контрольный пакет нефтехимического предприятия АО "Ставропольполимер" в г. Буденновске. Продолжаются переговоры об участии НК в акционировании белорусского нефтеперерабатывающего объединения Нафтан, рассматривается возможность покупки НПЗ в Чехии.</w:t>
      </w:r>
    </w:p>
    <w:p w:rsidR="00991F6E" w:rsidRDefault="002B0840">
      <w:pPr>
        <w:ind w:firstLine="720"/>
        <w:jc w:val="both"/>
      </w:pPr>
      <w:r>
        <w:t>НК «ЛУКойл» также использует для переработки своей нефти мощности НПЗ других нефтяных компаний. В 1997 г. на сторонних НПЗ НК переработала 3 млн. тонн нефти.</w:t>
      </w:r>
    </w:p>
    <w:p w:rsidR="00991F6E" w:rsidRDefault="002B0840">
      <w:pPr>
        <w:jc w:val="both"/>
      </w:pPr>
      <w:r>
        <w:t xml:space="preserve">            Компания ведет агрессивную политику на рынке сбыта нефтепродуктов, которые НК распространяет на внутреннем рынке через региональную сеть главным образом в Поволжье, на юге России и на Урале. Компания проводит активную политику в регионах, подписывая соглашения о сотрудничестве с администрациями российских областей и республик в области реализации нефти и нефтепродуктов, строительства нефтебаз, АЗС и производственных объектов и проведения других видов деятельности. </w:t>
      </w:r>
    </w:p>
    <w:p w:rsidR="00991F6E" w:rsidRDefault="002B0840">
      <w:pPr>
        <w:jc w:val="both"/>
        <w:rPr>
          <w:spacing w:val="20"/>
          <w:position w:val="6"/>
        </w:rPr>
      </w:pPr>
      <w:r>
        <w:t xml:space="preserve">            Компания расширяет свое присутствие за рубежом через сеть своих АЗС.</w:t>
      </w:r>
      <w:r>
        <w:rPr>
          <w:spacing w:val="20"/>
          <w:position w:val="6"/>
        </w:rPr>
        <w:t xml:space="preserve"> </w:t>
      </w:r>
    </w:p>
    <w:p w:rsidR="00991F6E" w:rsidRDefault="002B0840">
      <w:pPr>
        <w:jc w:val="both"/>
      </w:pPr>
      <w:r>
        <w:tab/>
      </w:r>
    </w:p>
    <w:p w:rsidR="00991F6E" w:rsidRDefault="002B0840">
      <w:pPr>
        <w:jc w:val="center"/>
        <w:rPr>
          <w:b/>
          <w:bCs/>
        </w:rPr>
      </w:pPr>
      <w:r>
        <w:rPr>
          <w:b/>
          <w:bCs/>
        </w:rPr>
        <w:t>2. Финансовые показатели</w:t>
      </w:r>
    </w:p>
    <w:p w:rsidR="00991F6E" w:rsidRDefault="00991F6E">
      <w:pPr>
        <w:jc w:val="both"/>
      </w:pPr>
    </w:p>
    <w:p w:rsidR="00991F6E" w:rsidRDefault="002B0840">
      <w:pPr>
        <w:jc w:val="both"/>
      </w:pPr>
      <w:r>
        <w:t xml:space="preserve">Результаты ($ млрд.) </w:t>
      </w:r>
      <w:r>
        <w:tab/>
        <w:t>1997</w:t>
      </w:r>
      <w:r>
        <w:tab/>
        <w:t>1996</w:t>
      </w:r>
      <w:r>
        <w:tab/>
        <w:t>1995</w:t>
      </w:r>
      <w:r>
        <w:tab/>
        <w:t>1994</w:t>
      </w:r>
      <w:r>
        <w:tab/>
        <w:t>1993</w:t>
      </w:r>
    </w:p>
    <w:p w:rsidR="00991F6E" w:rsidRDefault="002B0840">
      <w:pPr>
        <w:jc w:val="both"/>
      </w:pPr>
      <w:r>
        <w:t>Чистая выручка</w:t>
      </w:r>
      <w:r>
        <w:tab/>
      </w:r>
      <w:r>
        <w:tab/>
        <w:t>10,9</w:t>
      </w:r>
      <w:r>
        <w:tab/>
        <w:t>8,6</w:t>
      </w:r>
      <w:r>
        <w:tab/>
        <w:t>5,1</w:t>
      </w:r>
      <w:r>
        <w:tab/>
        <w:t>2,7</w:t>
      </w:r>
      <w:r>
        <w:tab/>
        <w:t>1,7</w:t>
      </w:r>
    </w:p>
    <w:p w:rsidR="00991F6E" w:rsidRDefault="002B0840">
      <w:pPr>
        <w:jc w:val="both"/>
      </w:pPr>
      <w:r>
        <w:t>Чистая прибыль</w:t>
      </w:r>
      <w:r>
        <w:tab/>
      </w:r>
      <w:r>
        <w:tab/>
        <w:t>0,6</w:t>
      </w:r>
      <w:r>
        <w:tab/>
        <w:t>0,75</w:t>
      </w:r>
      <w:r>
        <w:tab/>
        <w:t>0,53</w:t>
      </w:r>
      <w:r>
        <w:tab/>
        <w:t>0,15</w:t>
      </w:r>
      <w:r>
        <w:tab/>
        <w:t>0,3</w:t>
      </w:r>
    </w:p>
    <w:p w:rsidR="00991F6E" w:rsidRDefault="002B0840">
      <w:pPr>
        <w:jc w:val="both"/>
      </w:pPr>
      <w:r>
        <w:t>Прибыль/выручка</w:t>
      </w:r>
      <w:r>
        <w:tab/>
      </w:r>
      <w:r>
        <w:tab/>
        <w:t>6%</w:t>
      </w:r>
      <w:r>
        <w:tab/>
        <w:t>9%</w:t>
      </w:r>
      <w:r>
        <w:tab/>
        <w:t>10%</w:t>
      </w:r>
      <w:r>
        <w:tab/>
        <w:t>6%</w:t>
      </w:r>
      <w:r>
        <w:tab/>
        <w:t>18%</w:t>
      </w:r>
    </w:p>
    <w:p w:rsidR="00991F6E" w:rsidRDefault="00991F6E">
      <w:pPr>
        <w:jc w:val="both"/>
      </w:pPr>
    </w:p>
    <w:p w:rsidR="00991F6E" w:rsidRDefault="002B0840">
      <w:pPr>
        <w:ind w:firstLine="720"/>
        <w:jc w:val="both"/>
      </w:pPr>
      <w:r>
        <w:t xml:space="preserve">Несмотря на значительное увеличение выручки  в 1997 г., чистая прибыль, напротив, несколько уменьшилась. Отрицательное влияние на динамику нормы прибыли компании оказало снижение экспортных поставок. Негативно сказались также выросшие ставки акцизов на нефть, транспортно-энергетические тарифы. </w:t>
      </w:r>
    </w:p>
    <w:p w:rsidR="00991F6E" w:rsidRDefault="002B0840">
      <w:pPr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</w:p>
    <w:p w:rsidR="00991F6E" w:rsidRDefault="00991F6E">
      <w:pPr>
        <w:pStyle w:val="Heading4"/>
      </w:pPr>
    </w:p>
    <w:p w:rsidR="00991F6E" w:rsidRDefault="002B0840">
      <w:pPr>
        <w:pStyle w:val="Heading4"/>
        <w:rPr>
          <w:i/>
          <w:iCs/>
          <w:sz w:val="20"/>
        </w:rPr>
      </w:pPr>
      <w:r>
        <w:t xml:space="preserve">Оценка </w:t>
      </w:r>
    </w:p>
    <w:p w:rsidR="00991F6E" w:rsidRDefault="002B0840">
      <w:pPr>
        <w:ind w:left="720" w:firstLine="720"/>
        <w:jc w:val="both"/>
        <w:rPr>
          <w:i/>
          <w:iCs/>
          <w:sz w:val="20"/>
        </w:rPr>
      </w:pPr>
      <w:r>
        <w:rPr>
          <w:i/>
          <w:iCs/>
          <w:sz w:val="20"/>
        </w:rPr>
        <w:t>(</w:t>
      </w:r>
      <w:r>
        <w:rPr>
          <w:b/>
          <w:bCs/>
          <w:i/>
          <w:iCs/>
          <w:sz w:val="20"/>
        </w:rPr>
        <w:t>Консолидированный бухгалтерский баланс, млрд. руб.</w:t>
      </w:r>
      <w:r>
        <w:rPr>
          <w:i/>
          <w:iCs/>
          <w:sz w:val="20"/>
        </w:rPr>
        <w:t>)</w:t>
      </w:r>
    </w:p>
    <w:p w:rsidR="00991F6E" w:rsidRDefault="00991F6E">
      <w:pPr>
        <w:ind w:left="720" w:firstLine="720"/>
        <w:jc w:val="both"/>
        <w:rPr>
          <w:i/>
          <w:iCs/>
          <w:sz w:val="20"/>
        </w:rPr>
      </w:pPr>
    </w:p>
    <w:p w:rsidR="00991F6E" w:rsidRDefault="002B0840">
      <w:pPr>
        <w:ind w:left="2160" w:firstLine="72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1.10.97</w:t>
      </w:r>
      <w:r>
        <w:rPr>
          <w:b/>
          <w:bCs/>
          <w:sz w:val="20"/>
          <w:u w:val="single"/>
          <w:lang w:val="en-US"/>
        </w:rPr>
        <w:t xml:space="preserve"> </w:t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</w:rPr>
        <w:t>1.01.97</w:t>
      </w:r>
      <w:r>
        <w:rPr>
          <w:b/>
          <w:bCs/>
          <w:sz w:val="20"/>
          <w:u w:val="single"/>
          <w:lang w:val="en-US"/>
        </w:rPr>
        <w:t xml:space="preserve"> </w:t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</w:rPr>
        <w:t>1.01.96</w:t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</w:rPr>
        <w:t>1.01.95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Денежные средства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855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1093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435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191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Краткосрочные 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финансовые вложения</w:t>
      </w:r>
      <w:r>
        <w:rPr>
          <w:sz w:val="20"/>
          <w:lang w:val="en-US"/>
        </w:rPr>
        <w:t xml:space="preserve"> 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498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268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213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51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Счета к получению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22028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16778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8490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2751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Запасы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3081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2572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2218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764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Расходы будущих 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Периодов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Текущие активы всего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26500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20775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11377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3759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Основные средства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42713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40734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26804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6260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Нематериальные активы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144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70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56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>Незавершенные капитальные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Вложения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6063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5462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4575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1367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Долгосрочные финансовые 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Вложения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2437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2306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1270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472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Внеоборотные активы всего</w:t>
      </w:r>
      <w:r>
        <w:rPr>
          <w:sz w:val="20"/>
          <w:lang w:val="en-US"/>
        </w:rPr>
        <w:tab/>
      </w:r>
      <w:r>
        <w:rPr>
          <w:sz w:val="20"/>
        </w:rPr>
        <w:t>51357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48572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32705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8103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Всего активы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77857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69347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44082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11862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>Долгосрочные займы и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Кредиты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1186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1138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457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38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Прочие долгосрочные 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>Обязательства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869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Долгосрочные обязательства 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Всего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2055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1138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461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38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Краткосрочные займы и 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Кредиты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1294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636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678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84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Счета к оплате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22130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15757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9340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3480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Доходы будущих периодов</w:t>
      </w:r>
      <w:r>
        <w:rPr>
          <w:sz w:val="20"/>
          <w:lang w:val="en-US"/>
        </w:rPr>
        <w:tab/>
      </w:r>
      <w:r>
        <w:rPr>
          <w:sz w:val="20"/>
        </w:rPr>
        <w:t>217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231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234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359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>Краткосрочные обязательства</w:t>
      </w:r>
      <w:r>
        <w:rPr>
          <w:sz w:val="20"/>
          <w:lang w:val="en-US"/>
        </w:rPr>
        <w:tab/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Всего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23641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16624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10252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3923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Уставный капитал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23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Добавочный капитал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42420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42972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28479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6504</w:t>
      </w:r>
    </w:p>
    <w:p w:rsidR="00991F6E" w:rsidRDefault="002B0840">
      <w:pPr>
        <w:jc w:val="both"/>
        <w:rPr>
          <w:sz w:val="20"/>
          <w:lang w:val="en-US"/>
        </w:rPr>
      </w:pPr>
      <w:r>
        <w:rPr>
          <w:sz w:val="20"/>
        </w:rPr>
        <w:t xml:space="preserve">Нераспределенная прибыль 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и другие фонды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9700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8578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4855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1374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Всего акционерный капитал</w:t>
      </w:r>
      <w:r>
        <w:rPr>
          <w:sz w:val="20"/>
          <w:lang w:val="en-US"/>
        </w:rPr>
        <w:tab/>
      </w:r>
      <w:r>
        <w:rPr>
          <w:sz w:val="20"/>
        </w:rPr>
        <w:t>52161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51585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33369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7901</w:t>
      </w:r>
    </w:p>
    <w:p w:rsidR="00991F6E" w:rsidRDefault="002B0840">
      <w:pPr>
        <w:jc w:val="both"/>
        <w:rPr>
          <w:sz w:val="20"/>
        </w:rPr>
      </w:pPr>
      <w:r>
        <w:rPr>
          <w:sz w:val="20"/>
        </w:rPr>
        <w:t>Всего пассивы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77857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69347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44082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</w:rPr>
        <w:t>11862</w:t>
      </w:r>
    </w:p>
    <w:p w:rsidR="00991F6E" w:rsidRDefault="00991F6E">
      <w:pPr>
        <w:jc w:val="both"/>
        <w:rPr>
          <w:sz w:val="20"/>
        </w:rPr>
      </w:pPr>
    </w:p>
    <w:p w:rsidR="00991F6E" w:rsidRDefault="00991F6E">
      <w:pPr>
        <w:jc w:val="both"/>
        <w:rPr>
          <w:sz w:val="20"/>
        </w:rPr>
      </w:pPr>
    </w:p>
    <w:p w:rsidR="00991F6E" w:rsidRDefault="002B0840">
      <w:pPr>
        <w:jc w:val="both"/>
        <w:rPr>
          <w:lang w:val="en-US"/>
        </w:rPr>
      </w:pPr>
      <w:r>
        <w:t xml:space="preserve">              Несколько ухудшились в 1997 г. показатели ликвидности компании, что обусловлено главным образом замедлением оборота</w:t>
      </w:r>
      <w:r>
        <w:rPr>
          <w:lang w:val="en-US"/>
        </w:rPr>
        <w:t xml:space="preserve"> </w:t>
      </w:r>
      <w:r>
        <w:t>средств, ростом дебиторской и кредиторской задолженности.</w:t>
      </w:r>
    </w:p>
    <w:p w:rsidR="00991F6E" w:rsidRDefault="002B0840">
      <w:pPr>
        <w:pStyle w:val="Heading3"/>
      </w:pPr>
      <w:r>
        <w:t xml:space="preserve">              </w:t>
      </w:r>
    </w:p>
    <w:p w:rsidR="00991F6E" w:rsidRDefault="002B0840">
      <w:pPr>
        <w:ind w:left="2880" w:firstLine="72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1.10.97</w:t>
      </w:r>
      <w:r>
        <w:rPr>
          <w:b/>
          <w:bCs/>
          <w:sz w:val="20"/>
          <w:u w:val="single"/>
          <w:lang w:val="en-US"/>
        </w:rPr>
        <w:t xml:space="preserve"> </w:t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</w:rPr>
        <w:t>1.01.97</w:t>
      </w:r>
      <w:r>
        <w:rPr>
          <w:b/>
          <w:bCs/>
          <w:sz w:val="20"/>
          <w:u w:val="single"/>
          <w:lang w:val="en-US"/>
        </w:rPr>
        <w:t xml:space="preserve"> </w:t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</w:rPr>
        <w:t>1.01.96</w:t>
      </w:r>
      <w:r>
        <w:rPr>
          <w:b/>
          <w:bCs/>
          <w:sz w:val="20"/>
          <w:u w:val="single"/>
          <w:lang w:val="en-US"/>
        </w:rPr>
        <w:t xml:space="preserve"> </w:t>
      </w:r>
      <w:r>
        <w:rPr>
          <w:b/>
          <w:bCs/>
          <w:sz w:val="20"/>
          <w:u w:val="single"/>
          <w:lang w:val="en-US"/>
        </w:rPr>
        <w:tab/>
      </w:r>
      <w:r>
        <w:rPr>
          <w:b/>
          <w:bCs/>
          <w:sz w:val="20"/>
          <w:u w:val="single"/>
        </w:rPr>
        <w:t>1.01.95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Коэффициент абсолютной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Ликвидности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5,7%</w:t>
      </w:r>
      <w:r>
        <w:rPr>
          <w:sz w:val="22"/>
          <w:lang w:val="en-US"/>
        </w:rPr>
        <w:tab/>
      </w:r>
      <w:r>
        <w:rPr>
          <w:sz w:val="22"/>
        </w:rPr>
        <w:t>8,2%</w:t>
      </w:r>
      <w:r>
        <w:rPr>
          <w:sz w:val="22"/>
          <w:lang w:val="en-US"/>
        </w:rPr>
        <w:tab/>
      </w:r>
      <w:r>
        <w:rPr>
          <w:sz w:val="22"/>
        </w:rPr>
        <w:t>6,3%</w:t>
      </w:r>
      <w:r>
        <w:rPr>
          <w:sz w:val="22"/>
          <w:lang w:val="en-US"/>
        </w:rPr>
        <w:tab/>
      </w:r>
      <w:r>
        <w:rPr>
          <w:sz w:val="22"/>
        </w:rPr>
        <w:t>6,2%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Коэффициент срочной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Ликвидности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98,9%</w:t>
      </w:r>
      <w:r>
        <w:rPr>
          <w:sz w:val="22"/>
          <w:lang w:val="en-US"/>
        </w:rPr>
        <w:tab/>
      </w:r>
      <w:r>
        <w:rPr>
          <w:sz w:val="22"/>
        </w:rPr>
        <w:t>109,1%</w:t>
      </w:r>
      <w:r>
        <w:rPr>
          <w:sz w:val="22"/>
          <w:lang w:val="en-US"/>
        </w:rPr>
        <w:tab/>
      </w:r>
      <w:r>
        <w:rPr>
          <w:sz w:val="22"/>
        </w:rPr>
        <w:t>89,1%</w:t>
      </w:r>
      <w:r>
        <w:rPr>
          <w:sz w:val="22"/>
          <w:lang w:val="en-US"/>
        </w:rPr>
        <w:tab/>
      </w:r>
      <w:r>
        <w:rPr>
          <w:sz w:val="22"/>
        </w:rPr>
        <w:t>76,3%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Коэффициент текущей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Ликвидности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112,1%</w:t>
      </w:r>
      <w:r>
        <w:rPr>
          <w:sz w:val="22"/>
          <w:lang w:val="en-US"/>
        </w:rPr>
        <w:tab/>
      </w:r>
      <w:r>
        <w:rPr>
          <w:sz w:val="22"/>
        </w:rPr>
        <w:t>125,0%</w:t>
      </w:r>
      <w:r>
        <w:rPr>
          <w:sz w:val="22"/>
          <w:lang w:val="en-US"/>
        </w:rPr>
        <w:tab/>
      </w:r>
      <w:r>
        <w:rPr>
          <w:sz w:val="22"/>
        </w:rPr>
        <w:t>111,0%</w:t>
      </w:r>
      <w:r>
        <w:rPr>
          <w:sz w:val="22"/>
          <w:lang w:val="en-US"/>
        </w:rPr>
        <w:tab/>
      </w:r>
      <w:r>
        <w:rPr>
          <w:sz w:val="22"/>
        </w:rPr>
        <w:t>95,8%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Чистый оборотный капитал,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млрд. руб.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2859</w:t>
      </w:r>
      <w:r>
        <w:rPr>
          <w:sz w:val="22"/>
          <w:lang w:val="en-US"/>
        </w:rPr>
        <w:tab/>
      </w:r>
      <w:r>
        <w:rPr>
          <w:sz w:val="22"/>
        </w:rPr>
        <w:t>4151</w:t>
      </w:r>
      <w:r>
        <w:rPr>
          <w:sz w:val="22"/>
          <w:lang w:val="en-US"/>
        </w:rPr>
        <w:tab/>
      </w:r>
      <w:r>
        <w:rPr>
          <w:sz w:val="22"/>
        </w:rPr>
        <w:t>1125</w:t>
      </w:r>
      <w:r>
        <w:rPr>
          <w:sz w:val="22"/>
          <w:lang w:val="en-US"/>
        </w:rPr>
        <w:tab/>
      </w:r>
      <w:r>
        <w:rPr>
          <w:sz w:val="22"/>
        </w:rPr>
        <w:t>-164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Коэффициент финансовой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Независимости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67,0%</w:t>
      </w:r>
      <w:r>
        <w:rPr>
          <w:sz w:val="22"/>
          <w:lang w:val="en-US"/>
        </w:rPr>
        <w:tab/>
      </w:r>
      <w:r>
        <w:rPr>
          <w:sz w:val="22"/>
        </w:rPr>
        <w:t>74,4%</w:t>
      </w:r>
      <w:r>
        <w:rPr>
          <w:sz w:val="22"/>
          <w:lang w:val="en-US"/>
        </w:rPr>
        <w:tab/>
      </w:r>
      <w:r>
        <w:rPr>
          <w:sz w:val="22"/>
        </w:rPr>
        <w:t>75,7%</w:t>
      </w:r>
      <w:r>
        <w:rPr>
          <w:sz w:val="22"/>
          <w:lang w:val="en-US"/>
        </w:rPr>
        <w:tab/>
      </w:r>
      <w:r>
        <w:rPr>
          <w:sz w:val="22"/>
        </w:rPr>
        <w:t>66,6%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Рентабельность продаж,%</w:t>
      </w:r>
      <w:r>
        <w:rPr>
          <w:sz w:val="22"/>
          <w:lang w:val="en-US"/>
        </w:rPr>
        <w:tab/>
      </w:r>
      <w:r>
        <w:rPr>
          <w:sz w:val="22"/>
        </w:rPr>
        <w:tab/>
        <w:t xml:space="preserve"> 5,2%</w:t>
      </w:r>
      <w:r>
        <w:rPr>
          <w:sz w:val="22"/>
          <w:lang w:val="en-US"/>
        </w:rPr>
        <w:tab/>
      </w:r>
      <w:r>
        <w:rPr>
          <w:sz w:val="22"/>
        </w:rPr>
        <w:t>8,7%</w:t>
      </w:r>
      <w:r>
        <w:rPr>
          <w:sz w:val="22"/>
          <w:lang w:val="en-US"/>
        </w:rPr>
        <w:tab/>
      </w:r>
      <w:r>
        <w:rPr>
          <w:sz w:val="22"/>
        </w:rPr>
        <w:t>10,3%</w:t>
      </w:r>
      <w:r>
        <w:rPr>
          <w:sz w:val="22"/>
          <w:lang w:val="en-US"/>
        </w:rPr>
        <w:tab/>
      </w:r>
      <w:r>
        <w:rPr>
          <w:sz w:val="22"/>
        </w:rPr>
        <w:t>11,8%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Рентабельность собственного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капитала,%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4,6%</w:t>
      </w:r>
      <w:r>
        <w:rPr>
          <w:sz w:val="22"/>
          <w:lang w:val="en-US"/>
        </w:rPr>
        <w:tab/>
      </w:r>
      <w:r>
        <w:rPr>
          <w:sz w:val="22"/>
        </w:rPr>
        <w:t>7,4%</w:t>
      </w:r>
      <w:r>
        <w:rPr>
          <w:sz w:val="22"/>
          <w:lang w:val="en-US"/>
        </w:rPr>
        <w:tab/>
      </w:r>
      <w:r>
        <w:rPr>
          <w:sz w:val="22"/>
        </w:rPr>
        <w:t>7,2%</w:t>
      </w:r>
      <w:r>
        <w:rPr>
          <w:sz w:val="22"/>
          <w:lang w:val="en-US"/>
        </w:rPr>
        <w:tab/>
      </w:r>
      <w:r>
        <w:rPr>
          <w:sz w:val="22"/>
        </w:rPr>
        <w:t>8,6%</w:t>
      </w:r>
    </w:p>
    <w:p w:rsidR="00991F6E" w:rsidRDefault="002B0840">
      <w:pPr>
        <w:jc w:val="both"/>
        <w:rPr>
          <w:sz w:val="22"/>
          <w:lang w:val="en-US"/>
        </w:rPr>
      </w:pPr>
      <w:r>
        <w:rPr>
          <w:sz w:val="22"/>
        </w:rPr>
        <w:t xml:space="preserve">Рентабельность текущих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активов, %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</w:rPr>
        <w:tab/>
        <w:t>9,1%</w:t>
      </w:r>
      <w:r>
        <w:rPr>
          <w:sz w:val="22"/>
        </w:rPr>
        <w:tab/>
        <w:t>18,5%</w:t>
      </w:r>
      <w:r>
        <w:rPr>
          <w:sz w:val="22"/>
        </w:rPr>
        <w:tab/>
        <w:t>21,1%</w:t>
      </w:r>
      <w:r>
        <w:rPr>
          <w:sz w:val="22"/>
        </w:rPr>
        <w:tab/>
        <w:t>18,2%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Рентабельность активов, %</w:t>
      </w:r>
      <w:r>
        <w:rPr>
          <w:sz w:val="22"/>
        </w:rPr>
        <w:tab/>
      </w:r>
      <w:r>
        <w:rPr>
          <w:sz w:val="22"/>
        </w:rPr>
        <w:tab/>
        <w:t>3,1%</w:t>
      </w:r>
      <w:r>
        <w:rPr>
          <w:sz w:val="22"/>
        </w:rPr>
        <w:tab/>
        <w:t>5,5%</w:t>
      </w:r>
      <w:r>
        <w:rPr>
          <w:sz w:val="22"/>
        </w:rPr>
        <w:tab/>
        <w:t>5,5%</w:t>
      </w:r>
      <w:r>
        <w:rPr>
          <w:sz w:val="22"/>
        </w:rPr>
        <w:tab/>
        <w:t>5,8%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 xml:space="preserve">Оборачиваемость дебиторской </w:t>
      </w:r>
    </w:p>
    <w:p w:rsidR="00991F6E" w:rsidRDefault="002B0840">
      <w:pPr>
        <w:jc w:val="both"/>
        <w:rPr>
          <w:sz w:val="22"/>
        </w:rPr>
      </w:pPr>
      <w:r>
        <w:rPr>
          <w:sz w:val="22"/>
        </w:rPr>
        <w:t>задолженности, дн.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174</w:t>
      </w:r>
      <w:r>
        <w:rPr>
          <w:sz w:val="22"/>
        </w:rPr>
        <w:tab/>
        <w:t>139</w:t>
      </w:r>
      <w:r>
        <w:rPr>
          <w:sz w:val="22"/>
        </w:rPr>
        <w:tab/>
        <w:t>132</w:t>
      </w:r>
      <w:r>
        <w:rPr>
          <w:sz w:val="22"/>
        </w:rPr>
        <w:tab/>
        <w:t>173</w:t>
      </w:r>
    </w:p>
    <w:p w:rsidR="00991F6E" w:rsidRDefault="00991F6E">
      <w:pPr>
        <w:jc w:val="both"/>
      </w:pPr>
    </w:p>
    <w:p w:rsidR="00991F6E" w:rsidRDefault="00991F6E">
      <w:pPr>
        <w:jc w:val="both"/>
      </w:pPr>
    </w:p>
    <w:p w:rsidR="00991F6E" w:rsidRDefault="002B0840">
      <w:pPr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              В 1997 г. НК "ЛУКойл" продолжала наращивать инвестиции в основной капитал, они составили около 7 млрд.  деноминированных рублей, или 123,8% к 1996 г. Как и прежде, основная часть инвестиций (почти 90%) направлялась в нефтедобычу. </w:t>
      </w:r>
    </w:p>
    <w:p w:rsidR="00991F6E" w:rsidRDefault="002B0840">
      <w:pPr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              В 1997 г. уменьшился коэффициент финансовой независимости, что связано с активным привлечением компанией заемных средств на мировом рынке капиталов. В октябре 1997 г. ЛУКОЙЛ осуществил уже 4-ый выпуск конвертируемых еврооблигаций сроком на 5 лет на сумму $350 млн. На 1998 г. был запланирован еще один выпуск еврооблигаций на $300-$350 млн., но, возможно, в связи с неблагоприятной обстановкой на мировых финансовых рынках он был отложен.</w:t>
      </w:r>
    </w:p>
    <w:p w:rsidR="00991F6E" w:rsidRDefault="002B0840">
      <w:pPr>
        <w:jc w:val="both"/>
        <w:rPr>
          <w:spacing w:val="20"/>
          <w:position w:val="6"/>
        </w:rPr>
      </w:pPr>
      <w:r>
        <w:rPr>
          <w:spacing w:val="20"/>
          <w:position w:val="6"/>
        </w:rPr>
        <w:t xml:space="preserve">             «ЛУКойл» - третья крупнейшая по уровню капитализации компания России.</w:t>
      </w:r>
    </w:p>
    <w:p w:rsidR="00991F6E" w:rsidRDefault="002B0840">
      <w:pPr>
        <w:pStyle w:val="BodyText"/>
        <w:ind w:firstLine="720"/>
        <w:rPr>
          <w:spacing w:val="20"/>
          <w:position w:val="6"/>
        </w:rPr>
      </w:pPr>
      <w:r>
        <w:rPr>
          <w:spacing w:val="20"/>
          <w:position w:val="6"/>
        </w:rPr>
        <w:t xml:space="preserve">В шестнадцатый раз газета «Файнэшнл таймс» опубликовала обозрение ведущих компаний мира «ФТ 500», которое является едва ли не самым полным корпоративным рейтингом. Компании оценены в нем по размеру рыночной капитализации (т.е. стоимости,      полученной в результате умножения числа выпущенных акций на их рыночную цену), подсчитанной на конец сентября 1997 г. </w:t>
      </w:r>
    </w:p>
    <w:p w:rsidR="00991F6E" w:rsidRDefault="002B0840">
      <w:pPr>
        <w:pStyle w:val="BodyTextIndent"/>
      </w:pPr>
      <w:r>
        <w:t>Рейтинг 500 крупнейших компаний мира, по мнению британских специалистов в области экономики, подтверждает прогнозы об экономическом росте нефте-газовых компаний России. К РАО Газпром, дебютировавшему в этом списке в 1997 г., в нынешнем присоединились еще два российских представителя - нефтяная компания «ЛУКойл» и РАО «ЕЭС России». Причем, первая с капитализацией в 16,438 млрд. долларов и второе - в 16,376 млрд. сразу же заняли соответственно 224-е и 225-е места.</w:t>
      </w:r>
    </w:p>
    <w:p w:rsidR="00991F6E" w:rsidRDefault="00991F6E">
      <w:pPr>
        <w:jc w:val="both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576"/>
        <w:gridCol w:w="1800"/>
        <w:gridCol w:w="683"/>
        <w:gridCol w:w="996"/>
        <w:gridCol w:w="576"/>
      </w:tblGrid>
      <w:tr w:rsidR="00991F6E">
        <w:tc>
          <w:tcPr>
            <w:tcW w:w="576" w:type="dxa"/>
          </w:tcPr>
          <w:p w:rsidR="00991F6E" w:rsidRDefault="002B0840">
            <w:pPr>
              <w:jc w:val="both"/>
            </w:pPr>
            <w:r>
              <w:t>222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</w:pPr>
            <w:r>
              <w:t>307</w:t>
            </w:r>
          </w:p>
        </w:tc>
        <w:tc>
          <w:tcPr>
            <w:tcW w:w="1800" w:type="dxa"/>
            <w:vAlign w:val="center"/>
          </w:tcPr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Tesco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  <w:tc>
          <w:tcPr>
            <w:tcW w:w="90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16480.2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493</w:t>
            </w:r>
          </w:p>
        </w:tc>
      </w:tr>
      <w:tr w:rsidR="00991F6E">
        <w:tc>
          <w:tcPr>
            <w:tcW w:w="576" w:type="dxa"/>
            <w:tcBorders>
              <w:bottom w:val="single" w:sz="4" w:space="0" w:color="auto"/>
            </w:tcBorders>
          </w:tcPr>
          <w:p w:rsidR="00991F6E" w:rsidRDefault="002B0840">
            <w:pPr>
              <w:jc w:val="both"/>
            </w:pPr>
            <w:r>
              <w:t>223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91F6E" w:rsidRDefault="002B0840">
            <w:pPr>
              <w:jc w:val="both"/>
            </w:pPr>
            <w:r>
              <w:t>260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Fleet Financial</w:t>
            </w:r>
          </w:p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Group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16455.3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  <w:tr w:rsidR="00991F6E">
        <w:tc>
          <w:tcPr>
            <w:tcW w:w="576" w:type="dxa"/>
            <w:shd w:val="pct5" w:color="auto" w:fill="F3F3F3"/>
          </w:tcPr>
          <w:p w:rsidR="00991F6E" w:rsidRDefault="002B0840">
            <w:pPr>
              <w:jc w:val="both"/>
            </w:pPr>
            <w:r>
              <w:t>224</w:t>
            </w:r>
          </w:p>
        </w:tc>
        <w:tc>
          <w:tcPr>
            <w:tcW w:w="540" w:type="dxa"/>
            <w:shd w:val="pct5" w:color="auto" w:fill="F3F3F3"/>
          </w:tcPr>
          <w:p w:rsidR="00991F6E" w:rsidRDefault="00991F6E">
            <w:pPr>
              <w:jc w:val="both"/>
            </w:pPr>
          </w:p>
        </w:tc>
        <w:tc>
          <w:tcPr>
            <w:tcW w:w="1800" w:type="dxa"/>
            <w:shd w:val="pct5" w:color="auto" w:fill="F3F3F3"/>
            <w:vAlign w:val="center"/>
          </w:tcPr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LUKOIL</w:t>
            </w:r>
          </w:p>
        </w:tc>
        <w:tc>
          <w:tcPr>
            <w:tcW w:w="540" w:type="dxa"/>
            <w:shd w:val="pct5" w:color="auto" w:fill="F3F3F3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00" w:type="dxa"/>
            <w:shd w:val="pct5" w:color="auto" w:fill="F3F3F3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16437.5</w:t>
            </w:r>
          </w:p>
        </w:tc>
        <w:tc>
          <w:tcPr>
            <w:tcW w:w="540" w:type="dxa"/>
            <w:shd w:val="pct5" w:color="auto" w:fill="F3F3F3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</w:tr>
      <w:tr w:rsidR="00991F6E">
        <w:tc>
          <w:tcPr>
            <w:tcW w:w="576" w:type="dxa"/>
            <w:shd w:val="pct5" w:color="auto" w:fill="F3F3F3"/>
          </w:tcPr>
          <w:p w:rsidR="00991F6E" w:rsidRDefault="002B0840">
            <w:pPr>
              <w:jc w:val="both"/>
            </w:pPr>
            <w:r>
              <w:t>225</w:t>
            </w:r>
          </w:p>
        </w:tc>
        <w:tc>
          <w:tcPr>
            <w:tcW w:w="540" w:type="dxa"/>
            <w:shd w:val="pct5" w:color="auto" w:fill="F3F3F3"/>
          </w:tcPr>
          <w:p w:rsidR="00991F6E" w:rsidRDefault="00991F6E">
            <w:pPr>
              <w:jc w:val="both"/>
            </w:pPr>
          </w:p>
        </w:tc>
        <w:tc>
          <w:tcPr>
            <w:tcW w:w="1800" w:type="dxa"/>
            <w:shd w:val="pct5" w:color="auto" w:fill="F3F3F3"/>
            <w:vAlign w:val="center"/>
          </w:tcPr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Unified Energy</w:t>
            </w:r>
          </w:p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System</w:t>
            </w:r>
          </w:p>
        </w:tc>
        <w:tc>
          <w:tcPr>
            <w:tcW w:w="540" w:type="dxa"/>
            <w:shd w:val="pct5" w:color="auto" w:fill="F3F3F3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900" w:type="dxa"/>
            <w:shd w:val="pct5" w:color="auto" w:fill="F3F3F3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16375.7</w:t>
            </w:r>
          </w:p>
        </w:tc>
        <w:tc>
          <w:tcPr>
            <w:tcW w:w="540" w:type="dxa"/>
            <w:shd w:val="pct5" w:color="auto" w:fill="F3F3F3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</w:tr>
      <w:tr w:rsidR="00991F6E">
        <w:tc>
          <w:tcPr>
            <w:tcW w:w="576" w:type="dxa"/>
          </w:tcPr>
          <w:p w:rsidR="00991F6E" w:rsidRDefault="002B0840">
            <w:pPr>
              <w:jc w:val="both"/>
            </w:pPr>
            <w:r>
              <w:t>226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</w:pPr>
            <w:r>
              <w:t>296</w:t>
            </w:r>
          </w:p>
        </w:tc>
        <w:tc>
          <w:tcPr>
            <w:tcW w:w="1800" w:type="dxa"/>
            <w:vAlign w:val="center"/>
          </w:tcPr>
          <w:p w:rsidR="00991F6E" w:rsidRDefault="002B08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Vodafone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  <w:tc>
          <w:tcPr>
            <w:tcW w:w="90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16372.3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</w:tr>
      <w:tr w:rsidR="00991F6E">
        <w:tc>
          <w:tcPr>
            <w:tcW w:w="576" w:type="dxa"/>
          </w:tcPr>
          <w:p w:rsidR="00991F6E" w:rsidRDefault="002B0840">
            <w:pPr>
              <w:jc w:val="both"/>
            </w:pPr>
            <w:r>
              <w:t>227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</w:pPr>
            <w:r>
              <w:t>58</w:t>
            </w:r>
          </w:p>
        </w:tc>
        <w:tc>
          <w:tcPr>
            <w:tcW w:w="180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Sacura Bank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JAP</w:t>
            </w:r>
          </w:p>
        </w:tc>
        <w:tc>
          <w:tcPr>
            <w:tcW w:w="90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16347.4</w:t>
            </w:r>
          </w:p>
        </w:tc>
        <w:tc>
          <w:tcPr>
            <w:tcW w:w="540" w:type="dxa"/>
          </w:tcPr>
          <w:p w:rsidR="00991F6E" w:rsidRDefault="002B084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</w:tr>
    </w:tbl>
    <w:p w:rsidR="00991F6E" w:rsidRDefault="00991F6E">
      <w:pPr>
        <w:ind w:firstLine="720"/>
        <w:jc w:val="both"/>
        <w:rPr>
          <w:i/>
          <w:iCs/>
          <w:sz w:val="20"/>
        </w:rPr>
      </w:pPr>
    </w:p>
    <w:p w:rsidR="00991F6E" w:rsidRDefault="00991F6E">
      <w:pPr>
        <w:ind w:firstLine="720"/>
        <w:jc w:val="both"/>
        <w:rPr>
          <w:i/>
          <w:iCs/>
          <w:sz w:val="20"/>
        </w:rPr>
      </w:pPr>
    </w:p>
    <w:p w:rsidR="00991F6E" w:rsidRDefault="002B0840">
      <w:pPr>
        <w:ind w:firstLine="720"/>
        <w:jc w:val="both"/>
        <w:rPr>
          <w:i/>
          <w:iCs/>
          <w:sz w:val="20"/>
        </w:rPr>
      </w:pPr>
      <w:r>
        <w:rPr>
          <w:i/>
          <w:iCs/>
          <w:sz w:val="20"/>
        </w:rPr>
        <w:t>(По данным информационного агенства «Интерфакс»)</w:t>
      </w:r>
    </w:p>
    <w:p w:rsidR="00991F6E" w:rsidRDefault="00991F6E">
      <w:pPr>
        <w:ind w:firstLine="720"/>
        <w:jc w:val="both"/>
        <w:rPr>
          <w:i/>
          <w:iCs/>
          <w:sz w:val="20"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991F6E">
      <w:pPr>
        <w:jc w:val="center"/>
        <w:rPr>
          <w:b/>
          <w:bCs/>
          <w:i/>
          <w:iCs/>
        </w:rPr>
      </w:pPr>
    </w:p>
    <w:p w:rsidR="00991F6E" w:rsidRDefault="002B084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§3. Организационная структура ОАО «ЛУКойл»</w:t>
      </w:r>
    </w:p>
    <w:p w:rsidR="00991F6E" w:rsidRDefault="00991F6E">
      <w:pPr>
        <w:pStyle w:val="Footer"/>
        <w:tabs>
          <w:tab w:val="clear" w:pos="4677"/>
          <w:tab w:val="clear" w:pos="9355"/>
        </w:tabs>
      </w:pPr>
    </w:p>
    <w:p w:rsidR="00991F6E" w:rsidRDefault="00991F6E">
      <w:pPr>
        <w:pStyle w:val="Footer"/>
        <w:tabs>
          <w:tab w:val="clear" w:pos="4677"/>
          <w:tab w:val="clear" w:pos="9355"/>
        </w:tabs>
      </w:pPr>
    </w:p>
    <w:p w:rsidR="00991F6E" w:rsidRDefault="002B0840">
      <w:pPr>
        <w:pStyle w:val="Footer"/>
        <w:tabs>
          <w:tab w:val="clear" w:pos="4677"/>
          <w:tab w:val="clear" w:pos="9355"/>
        </w:tabs>
        <w:jc w:val="center"/>
        <w:rPr>
          <w:b/>
          <w:bCs/>
          <w:sz w:val="22"/>
        </w:rPr>
      </w:pPr>
      <w:r>
        <w:rPr>
          <w:b/>
          <w:bCs/>
          <w:sz w:val="22"/>
          <w:bdr w:val="single" w:sz="4" w:space="0" w:color="auto"/>
        </w:rPr>
        <w:t>Общее Собрание Акционеров</w:t>
      </w:r>
    </w:p>
    <w:p w:rsidR="00991F6E" w:rsidRDefault="00991F6E">
      <w:pPr>
        <w:pStyle w:val="Footer"/>
        <w:tabs>
          <w:tab w:val="clear" w:pos="4677"/>
          <w:tab w:val="clear" w:pos="9355"/>
        </w:tabs>
        <w:rPr>
          <w:b/>
          <w:bCs/>
        </w:rPr>
      </w:pP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2"/>
        </w:rPr>
      </w:pPr>
      <w:r>
        <w:rPr>
          <w:noProof/>
          <w:sz w:val="22"/>
          <w:lang w:val="en-US"/>
        </w:rPr>
        <w:pict>
          <v:rect id="_x0000_s1112" style="position:absolute;left:0;text-align:left;margin-left:315pt;margin-top:.65pt;width:117pt;height:108pt;z-index:-251659264"/>
        </w:pict>
      </w:r>
      <w:r>
        <w:rPr>
          <w:noProof/>
          <w:sz w:val="22"/>
          <w:lang w:val="en-US"/>
        </w:rPr>
        <w:pict>
          <v:line id="_x0000_s1120" style="position:absolute;left:0;text-align:left;z-index:251658240" from="2in,18.65pt" to="171pt,18.65pt"/>
        </w:pict>
      </w:r>
      <w:r>
        <w:rPr>
          <w:noProof/>
          <w:sz w:val="22"/>
          <w:lang w:val="en-US"/>
        </w:rPr>
        <w:pict>
          <v:rect id="_x0000_s1111" style="position:absolute;left:0;text-align:left;margin-left:171pt;margin-top:.65pt;width:108pt;height:108pt;z-index:-251660288"/>
        </w:pict>
      </w:r>
      <w:r>
        <w:rPr>
          <w:noProof/>
          <w:sz w:val="22"/>
          <w:lang w:val="en-US"/>
        </w:rPr>
        <w:pict>
          <v:rect id="_x0000_s1110" style="position:absolute;left:0;text-align:left;margin-left:27pt;margin-top:.65pt;width:117pt;height:108pt;z-index:-251661312"/>
        </w:pict>
      </w:r>
      <w:r>
        <w:rPr>
          <w:noProof/>
          <w:sz w:val="22"/>
          <w:lang w:val="en-U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25" type="#_x0000_t85" style="position:absolute;left:0;text-align:left;margin-left:306pt;margin-top:18.65pt;width:9pt;height:1in;z-index:251660288" adj="0"/>
        </w:pict>
      </w:r>
      <w:r w:rsidR="002B0840">
        <w:rPr>
          <w:sz w:val="22"/>
        </w:rPr>
        <w:t xml:space="preserve">Аппарат Совета </w:t>
      </w:r>
      <w:r w:rsidR="002B0840">
        <w:rPr>
          <w:sz w:val="22"/>
        </w:rPr>
        <w:tab/>
      </w:r>
      <w:r w:rsidR="002B0840">
        <w:rPr>
          <w:sz w:val="22"/>
        </w:rPr>
        <w:tab/>
        <w:t xml:space="preserve">    Совет директров</w:t>
      </w:r>
      <w:r w:rsidR="002B0840">
        <w:rPr>
          <w:sz w:val="22"/>
        </w:rPr>
        <w:tab/>
      </w:r>
      <w:r w:rsidR="002B0840">
        <w:rPr>
          <w:sz w:val="22"/>
        </w:rPr>
        <w:tab/>
        <w:t>Комитет формиро-</w:t>
      </w:r>
      <w:r w:rsidR="002B0840">
        <w:rPr>
          <w:sz w:val="22"/>
        </w:rPr>
        <w:tab/>
      </w:r>
      <w:r w:rsidR="002B0840">
        <w:rPr>
          <w:sz w:val="22"/>
        </w:rPr>
        <w:tab/>
        <w:t>директоров</w:t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  <w:t>-вания и развития</w:t>
      </w:r>
    </w:p>
    <w:p w:rsidR="00991F6E" w:rsidRDefault="002B0840">
      <w:pPr>
        <w:pStyle w:val="Footer"/>
        <w:tabs>
          <w:tab w:val="clear" w:pos="4677"/>
          <w:tab w:val="clear" w:pos="9355"/>
        </w:tabs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новых структур</w:t>
      </w:r>
    </w:p>
    <w:p w:rsidR="00991F6E" w:rsidRDefault="00A910BE">
      <w:pPr>
        <w:pStyle w:val="Footer"/>
        <w:tabs>
          <w:tab w:val="clear" w:pos="4677"/>
          <w:tab w:val="clear" w:pos="9355"/>
        </w:tabs>
        <w:ind w:left="2880" w:firstLine="720"/>
        <w:rPr>
          <w:sz w:val="22"/>
        </w:rPr>
      </w:pPr>
      <w:r>
        <w:rPr>
          <w:noProof/>
          <w:sz w:val="22"/>
          <w:lang w:val="en-US"/>
        </w:rPr>
        <w:pict>
          <v:line id="_x0000_s1175" style="position:absolute;left:0;text-align:left;z-index:251704320" from="315pt,-.05pt" to="6in,-.05pt"/>
        </w:pict>
      </w:r>
      <w:r>
        <w:rPr>
          <w:noProof/>
          <w:sz w:val="22"/>
          <w:lang w:val="en-US"/>
        </w:rPr>
        <w:pict>
          <v:line id="_x0000_s1172" style="position:absolute;left:0;text-align:left;z-index:251701248" from="27pt,-.05pt" to="2in,-.05pt"/>
        </w:pict>
      </w:r>
      <w:r w:rsidR="002B0840">
        <w:rPr>
          <w:sz w:val="22"/>
        </w:rPr>
        <w:t xml:space="preserve">        Президент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2"/>
        </w:rPr>
      </w:pPr>
      <w:r>
        <w:rPr>
          <w:noProof/>
          <w:sz w:val="22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21" type="#_x0000_t88" style="position:absolute;left:0;text-align:left;margin-left:2in;margin-top:10.05pt;width:27pt;height:40.55pt;z-index:251659264" adj="0"/>
        </w:pict>
      </w:r>
      <w:r>
        <w:rPr>
          <w:noProof/>
          <w:sz w:val="22"/>
          <w:lang w:val="en-US"/>
        </w:rPr>
        <w:pict>
          <v:line id="_x0000_s1126" style="position:absolute;left:0;text-align:left;z-index:251661312" from="279pt,10.05pt" to="315pt,10.05pt"/>
        </w:pict>
      </w:r>
      <w:r w:rsidR="002B0840">
        <w:rPr>
          <w:sz w:val="22"/>
        </w:rPr>
        <w:t>Советник, Экс-</w:t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  <w:t xml:space="preserve">Юридическое </w:t>
      </w:r>
    </w:p>
    <w:p w:rsidR="00991F6E" w:rsidRDefault="002B0840">
      <w:pPr>
        <w:pStyle w:val="Footer"/>
        <w:tabs>
          <w:tab w:val="clear" w:pos="4677"/>
          <w:tab w:val="clear" w:pos="9355"/>
        </w:tabs>
        <w:rPr>
          <w:sz w:val="22"/>
        </w:rPr>
      </w:pPr>
      <w:r>
        <w:rPr>
          <w:sz w:val="22"/>
        </w:rPr>
        <w:tab/>
        <w:t>-пертный советник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управление</w:t>
      </w:r>
    </w:p>
    <w:p w:rsidR="00991F6E" w:rsidRDefault="00A910BE">
      <w:pPr>
        <w:pStyle w:val="Footer"/>
        <w:tabs>
          <w:tab w:val="clear" w:pos="4677"/>
          <w:tab w:val="clear" w:pos="9355"/>
          <w:tab w:val="left" w:pos="2820"/>
          <w:tab w:val="center" w:pos="4535"/>
          <w:tab w:val="left" w:pos="6300"/>
        </w:tabs>
        <w:rPr>
          <w:sz w:val="22"/>
        </w:rPr>
      </w:pPr>
      <w:r>
        <w:rPr>
          <w:noProof/>
          <w:sz w:val="22"/>
          <w:lang w:val="en-US"/>
        </w:rPr>
        <w:pict>
          <v:line id="_x0000_s1174" style="position:absolute;z-index:251703296" from="315pt,8.15pt" to="6in,8.15pt"/>
        </w:pict>
      </w:r>
      <w:r>
        <w:rPr>
          <w:noProof/>
          <w:sz w:val="22"/>
          <w:lang w:val="en-US"/>
        </w:rPr>
        <w:pict>
          <v:line id="_x0000_s1173" style="position:absolute;z-index:251702272" from="27pt,8.15pt" to="2in,8.15pt"/>
        </w:pict>
      </w:r>
      <w:r w:rsidR="002B0840">
        <w:rPr>
          <w:sz w:val="22"/>
        </w:rPr>
        <w:tab/>
      </w:r>
      <w:r w:rsidR="002B0840">
        <w:rPr>
          <w:sz w:val="22"/>
        </w:rPr>
        <w:tab/>
        <w:t>Правление</w:t>
      </w:r>
      <w:r w:rsidR="002B0840">
        <w:rPr>
          <w:sz w:val="22"/>
        </w:rPr>
        <w:tab/>
      </w:r>
    </w:p>
    <w:p w:rsidR="00991F6E" w:rsidRDefault="002B0840">
      <w:pPr>
        <w:pStyle w:val="Footer"/>
        <w:tabs>
          <w:tab w:val="clear" w:pos="4677"/>
          <w:tab w:val="clear" w:pos="9355"/>
        </w:tabs>
        <w:rPr>
          <w:sz w:val="22"/>
        </w:rPr>
      </w:pPr>
      <w:r>
        <w:rPr>
          <w:sz w:val="22"/>
        </w:rPr>
        <w:tab/>
        <w:t>Аппарат Президента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Научно-технический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2"/>
        </w:rPr>
      </w:pPr>
      <w:r>
        <w:rPr>
          <w:noProof/>
          <w:sz w:val="22"/>
          <w:lang w:val="en-US"/>
        </w:rPr>
        <w:pict>
          <v:line id="_x0000_s1150" style="position:absolute;z-index:251681792" from="234pt,10.5pt" to="234pt,199.5pt"/>
        </w:pict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</w:r>
      <w:r w:rsidR="002B0840">
        <w:rPr>
          <w:sz w:val="22"/>
        </w:rPr>
        <w:tab/>
        <w:t>совет</w:t>
      </w:r>
    </w:p>
    <w:p w:rsidR="00991F6E" w:rsidRDefault="002B0840">
      <w:pPr>
        <w:pStyle w:val="Footer"/>
        <w:tabs>
          <w:tab w:val="clear" w:pos="4677"/>
          <w:tab w:val="clear" w:pos="9355"/>
        </w:tabs>
        <w:rPr>
          <w:sz w:val="22"/>
        </w:rPr>
      </w:pPr>
      <w:r>
        <w:rPr>
          <w:sz w:val="22"/>
        </w:rPr>
        <w:tab/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rect id="_x0000_s1139" style="position:absolute;margin-left:279pt;margin-top:3.95pt;width:153pt;height:351pt;z-index:-251644928"/>
        </w:pict>
      </w:r>
      <w:r>
        <w:rPr>
          <w:noProof/>
          <w:sz w:val="20"/>
          <w:lang w:val="en-US"/>
        </w:rPr>
        <w:pict>
          <v:rect id="_x0000_s1129" style="position:absolute;margin-left:27pt;margin-top:3.95pt;width:162pt;height:45pt;z-index:-251654144"/>
        </w:pict>
      </w:r>
      <w:r w:rsidR="002B0840">
        <w:rPr>
          <w:sz w:val="20"/>
        </w:rPr>
        <w:tab/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52" style="position:absolute;z-index:251683840" from="189pt,19.8pt" to="279pt,19.8pt"/>
        </w:pict>
      </w:r>
      <w:r w:rsidR="002B0840">
        <w:rPr>
          <w:sz w:val="20"/>
        </w:rPr>
        <w:tab/>
        <w:t>Вице-президент Руководитель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Вице-президент по общим</w:t>
      </w:r>
      <w:r w:rsidR="002B0840">
        <w:rPr>
          <w:sz w:val="20"/>
        </w:rPr>
        <w:tab/>
      </w:r>
      <w:r w:rsidR="002B0840">
        <w:rPr>
          <w:sz w:val="20"/>
        </w:rPr>
        <w:tab/>
        <w:t>Европейского представительства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вопросам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40" style="position:absolute;z-index:251672576" from="279pt,6.45pt" to="6in,6.45pt"/>
        </w:pict>
      </w:r>
      <w:r w:rsidR="002B0840">
        <w:rPr>
          <w:sz w:val="20"/>
        </w:rPr>
        <w:tab/>
        <w:t>Компании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rect id="_x0000_s1130" style="position:absolute;margin-left:27pt;margin-top:4.3pt;width:162pt;height:36pt;z-index:-251653120"/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53" style="position:absolute;z-index:251684864" from="189pt,11.15pt" to="279pt,11.15pt"/>
        </w:pict>
      </w:r>
      <w:r w:rsidR="002B0840">
        <w:rPr>
          <w:sz w:val="20"/>
        </w:rPr>
        <w:tab/>
        <w:t>Главный бухгалтер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Вице-президент по внешне-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экономическим связям и за-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rect id="_x0000_s1132" style="position:absolute;margin-left:27pt;margin-top:6.85pt;width:162pt;height:36pt;z-index:-251652096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-рубежным проектам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41" style="position:absolute;z-index:251673600" from="279pt,4.7pt" to="6in,4.7pt"/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54" style="position:absolute;z-index:251685888" from="189pt,2.5pt" to="279pt,2.5pt"/>
        </w:pict>
      </w:r>
      <w:r w:rsidR="002B0840">
        <w:rPr>
          <w:sz w:val="20"/>
        </w:rPr>
        <w:tab/>
        <w:t>Первый вице-президент по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Первый вице-президент по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65" type="#_x0000_t86" style="position:absolute;margin-left:189pt;margin-top:.5pt;width:9pt;height:27pt;z-index:251696128" adj="0"/>
        </w:pict>
      </w:r>
      <w:r>
        <w:rPr>
          <w:noProof/>
          <w:sz w:val="20"/>
          <w:lang w:val="en-US"/>
        </w:rPr>
        <w:pict>
          <v:line id="_x0000_s1156" style="position:absolute;z-index:251687936" from="261pt,9.35pt" to="279pt,9.35pt"/>
        </w:pict>
      </w:r>
      <w:r>
        <w:rPr>
          <w:noProof/>
          <w:sz w:val="20"/>
          <w:lang w:val="en-US"/>
        </w:rPr>
        <w:pict>
          <v:line id="_x0000_s1155" style="position:absolute;z-index:251686912" from="261pt,9.35pt" to="261pt,234.35pt"/>
        </w:pict>
      </w:r>
      <w:r>
        <w:rPr>
          <w:noProof/>
          <w:sz w:val="20"/>
          <w:lang w:val="en-US"/>
        </w:rPr>
        <w:pict>
          <v:rect id="_x0000_s1133" style="position:absolute;margin-left:27pt;margin-top:9.35pt;width:162pt;height:36pt;z-index:-251651072"/>
        </w:pict>
      </w:r>
      <w:r w:rsidR="002B0840">
        <w:rPr>
          <w:sz w:val="20"/>
        </w:rPr>
        <w:tab/>
        <w:t>Коммерции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производству</w: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42" style="position:absolute;z-index:251674624" from="279pt,7.2pt" to="6in,7.2pt"/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rPr>
          <w:sz w:val="20"/>
        </w:rPr>
      </w:pPr>
      <w:r>
        <w:rPr>
          <w:noProof/>
          <w:sz w:val="20"/>
          <w:lang w:val="en-US"/>
        </w:rPr>
        <w:pict>
          <v:line id="_x0000_s1163" style="position:absolute;z-index:251695104" from="261pt,5.05pt" to="279pt,5.05pt"/>
        </w:pict>
      </w:r>
      <w:r w:rsidR="002B0840">
        <w:rPr>
          <w:sz w:val="20"/>
        </w:rPr>
        <w:tab/>
        <w:t xml:space="preserve">Вице-президент по реализации 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Вице-президент по добыче</w:t>
      </w:r>
      <w:r w:rsidR="002B0840">
        <w:rPr>
          <w:sz w:val="20"/>
        </w:rPr>
        <w:tab/>
      </w:r>
    </w:p>
    <w:p w:rsidR="00991F6E" w:rsidRDefault="002B0840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sz w:val="20"/>
        </w:rPr>
        <w:t>нефти и нефтепродуктов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нефти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43" style="position:absolute;left:0;text-align:left;z-index:251675648" from="279pt,.75pt" to="6in,.75pt"/>
        </w:pict>
      </w:r>
      <w:r>
        <w:rPr>
          <w:noProof/>
          <w:sz w:val="20"/>
          <w:lang w:val="en-US"/>
        </w:rPr>
        <w:pict>
          <v:rect id="_x0000_s1134" style="position:absolute;left:0;text-align:left;margin-left:27pt;margin-top:.75pt;width:162pt;height:45pt;z-index:-251650048"/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ind w:left="5760" w:hanging="5040"/>
        <w:rPr>
          <w:sz w:val="20"/>
        </w:rPr>
      </w:pPr>
      <w:r>
        <w:rPr>
          <w:noProof/>
          <w:sz w:val="20"/>
          <w:lang w:val="en-US"/>
        </w:rPr>
        <w:pict>
          <v:line id="_x0000_s1162" style="position:absolute;left:0;text-align:left;z-index:251694080" from="261pt,7.6pt" to="279pt,7.6pt"/>
        </w:pict>
      </w:r>
      <w:r>
        <w:rPr>
          <w:noProof/>
          <w:sz w:val="20"/>
          <w:lang w:val="en-US"/>
        </w:rPr>
        <w:pict>
          <v:line id="_x0000_s1151" style="position:absolute;left:0;text-align:left;flip:x;z-index:251682816" from="189pt,7.6pt" to="234pt,7.6pt"/>
        </w:pict>
      </w:r>
      <w:r w:rsidR="002B0840">
        <w:rPr>
          <w:sz w:val="20"/>
        </w:rPr>
        <w:t>Первый вице-президент по</w:t>
      </w:r>
      <w:r w:rsidR="002B0840">
        <w:rPr>
          <w:sz w:val="20"/>
        </w:rPr>
        <w:tab/>
        <w:t>Вице-президен по переработке.</w:t>
      </w:r>
    </w:p>
    <w:p w:rsidR="00991F6E" w:rsidRDefault="002B0840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sz w:val="20"/>
        </w:rPr>
        <w:t>Экономике, планированию и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нефти и нефтепродуктообеспеч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shape id="_x0000_s1166" type="#_x0000_t86" style="position:absolute;left:0;text-align:left;margin-left:189pt;margin-top:3.4pt;width:27pt;height:135pt;z-index:251697152" adj="0"/>
        </w:pict>
      </w:r>
      <w:r>
        <w:rPr>
          <w:noProof/>
          <w:sz w:val="20"/>
          <w:lang w:val="en-US"/>
        </w:rPr>
        <w:pict>
          <v:line id="_x0000_s1144" style="position:absolute;left:0;text-align:left;z-index:251676672" from="279pt,3.25pt" to="6in,3.25pt"/>
        </w:pict>
      </w:r>
      <w:r w:rsidR="002B0840">
        <w:rPr>
          <w:sz w:val="20"/>
        </w:rPr>
        <w:t>Финансам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</w:p>
    <w:p w:rsidR="00991F6E" w:rsidRDefault="00A910BE">
      <w:pPr>
        <w:pStyle w:val="Footer"/>
        <w:tabs>
          <w:tab w:val="clear" w:pos="4677"/>
          <w:tab w:val="clear" w:pos="9355"/>
        </w:tabs>
        <w:ind w:left="5040" w:firstLine="720"/>
        <w:rPr>
          <w:sz w:val="20"/>
        </w:rPr>
      </w:pPr>
      <w:r>
        <w:rPr>
          <w:noProof/>
          <w:sz w:val="20"/>
          <w:lang w:val="en-US"/>
        </w:rPr>
        <w:pict>
          <v:line id="_x0000_s1161" style="position:absolute;left:0;text-align:left;z-index:251693056" from="261pt,10.1pt" to="279pt,10.1pt"/>
        </w:pict>
      </w:r>
      <w:r>
        <w:rPr>
          <w:noProof/>
          <w:sz w:val="20"/>
          <w:lang w:val="en-US"/>
        </w:rPr>
        <w:pict>
          <v:rect id="_x0000_s1135" style="position:absolute;left:0;text-align:left;margin-left:27pt;margin-top:1.1pt;width:162pt;height:45pt;z-index:-251649024"/>
        </w:pict>
      </w:r>
      <w:r w:rsidR="002B0840">
        <w:rPr>
          <w:sz w:val="20"/>
        </w:rPr>
        <w:t>Департамент по геологии и</w:t>
      </w:r>
      <w:r w:rsidR="002B0840">
        <w:rPr>
          <w:sz w:val="20"/>
        </w:rPr>
        <w:tab/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69" style="position:absolute;left:0;text-align:left;z-index:251700224" from="189pt,8.05pt" to="3in,8.05pt"/>
        </w:pict>
      </w:r>
      <w:r>
        <w:rPr>
          <w:noProof/>
          <w:sz w:val="20"/>
          <w:lang w:val="en-US"/>
        </w:rPr>
        <w:pict>
          <v:line id="_x0000_s1145" style="position:absolute;left:0;text-align:left;z-index:251677696" from="279pt,16.95pt" to="6in,16.95pt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разведке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Вице-президент по экономи-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</w:p>
    <w:p w:rsidR="00991F6E" w:rsidRDefault="002B0840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sz w:val="20"/>
        </w:rPr>
        <w:t>-ческому анализу и информации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Департамент оборудования 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60" style="position:absolute;left:0;text-align:left;z-index:251692032" from="261pt,1.5pt" to="279pt,1.5pt"/>
        </w:pict>
      </w:r>
      <w:r>
        <w:rPr>
          <w:noProof/>
          <w:sz w:val="20"/>
          <w:lang w:val="en-US"/>
        </w:rPr>
        <w:pict>
          <v:rect id="_x0000_s1136" style="position:absolute;left:0;text-align:left;margin-left:27pt;margin-top:1.5pt;width:162pt;height:36pt;z-index:-251648000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и машиностроения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68" style="position:absolute;left:0;text-align:left;z-index:251699200" from="189pt,-.55pt" to="3in,-.55pt"/>
        </w:pict>
      </w:r>
      <w:r>
        <w:rPr>
          <w:noProof/>
          <w:sz w:val="20"/>
          <w:lang w:val="en-US"/>
        </w:rPr>
        <w:pict>
          <v:line id="_x0000_s1146" style="position:absolute;left:0;text-align:left;z-index:251678720" from="279pt,8.3pt" to="6in,8.3pt"/>
        </w:pict>
      </w:r>
      <w:r w:rsidR="002B0840">
        <w:rPr>
          <w:sz w:val="20"/>
        </w:rPr>
        <w:t>Вице-президент по экономике</w:t>
      </w:r>
    </w:p>
    <w:p w:rsidR="00991F6E" w:rsidRDefault="002B0840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sz w:val="20"/>
        </w:rPr>
        <w:t>И планированию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Управление охраны окружа-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59" style="position:absolute;left:0;text-align:left;z-index:251691008" from="261pt,4pt" to="279pt,4pt"/>
        </w:pict>
      </w:r>
      <w:r>
        <w:rPr>
          <w:noProof/>
          <w:sz w:val="20"/>
          <w:lang w:val="en-US"/>
        </w:rPr>
        <w:pict>
          <v:rect id="_x0000_s1137" style="position:absolute;left:0;text-align:left;margin-left:27pt;margin-top:4pt;width:162pt;height:27pt;z-index:-251646976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-ющей среды и безопасности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67" style="position:absolute;left:0;text-align:left;z-index:251698176" from="189pt,1.95pt" to="3in,1.95pt"/>
        </w:pict>
      </w:r>
      <w:r w:rsidR="002B0840">
        <w:rPr>
          <w:sz w:val="20"/>
        </w:rPr>
        <w:t>Вице-президент по финансам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труда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47" style="position:absolute;left:0;text-align:left;z-index:251679744" from="279pt,-.3pt" to="6in,-.3pt"/>
        </w:pict>
      </w:r>
      <w:r>
        <w:rPr>
          <w:noProof/>
          <w:sz w:val="20"/>
          <w:lang w:val="en-US"/>
        </w:rPr>
        <w:pict>
          <v:rect id="_x0000_s1138" style="position:absolute;left:0;text-align:left;margin-left:27pt;margin-top:8.7pt;width:162pt;height:27pt;z-index:-251645952"/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58" style="position:absolute;left:0;text-align:left;z-index:251689984" from="261pt,6.55pt" to="279pt,6.55pt"/>
        </w:pict>
      </w:r>
      <w:r w:rsidR="002B0840">
        <w:rPr>
          <w:sz w:val="20"/>
        </w:rPr>
        <w:t>Департамент ценных бумаг</w: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ЦДУ</w: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48" style="position:absolute;left:0;text-align:left;z-index:251680768" from="279pt,4.4pt" to="6in,4.4pt"/>
        </w:pict>
      </w:r>
    </w:p>
    <w:p w:rsidR="00991F6E" w:rsidRDefault="00A910BE">
      <w:pPr>
        <w:pStyle w:val="Footer"/>
        <w:tabs>
          <w:tab w:val="clear" w:pos="4677"/>
          <w:tab w:val="clear" w:pos="9355"/>
        </w:tabs>
        <w:ind w:firstLine="720"/>
        <w:rPr>
          <w:sz w:val="20"/>
        </w:rPr>
      </w:pPr>
      <w:r>
        <w:rPr>
          <w:noProof/>
          <w:sz w:val="20"/>
          <w:lang w:val="en-US"/>
        </w:rPr>
        <w:pict>
          <v:line id="_x0000_s1157" style="position:absolute;left:0;text-align:left;z-index:251688960" from="261pt,11.2pt" to="279pt,11.2pt"/>
        </w:pict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</w:r>
      <w:r w:rsidR="002B0840">
        <w:rPr>
          <w:sz w:val="20"/>
        </w:rPr>
        <w:tab/>
        <w:t>Отдел науки и инжениринга</w:t>
      </w:r>
    </w:p>
    <w:p w:rsidR="00991F6E" w:rsidRDefault="00991F6E">
      <w:pPr>
        <w:pStyle w:val="Footer"/>
        <w:tabs>
          <w:tab w:val="clear" w:pos="4677"/>
          <w:tab w:val="clear" w:pos="9355"/>
        </w:tabs>
        <w:rPr>
          <w:sz w:val="20"/>
        </w:rPr>
      </w:pPr>
    </w:p>
    <w:p w:rsidR="00991F6E" w:rsidRDefault="00991F6E">
      <w:pPr>
        <w:pStyle w:val="Footer"/>
        <w:tabs>
          <w:tab w:val="clear" w:pos="4677"/>
          <w:tab w:val="clear" w:pos="9355"/>
        </w:tabs>
        <w:rPr>
          <w:sz w:val="20"/>
        </w:rPr>
      </w:pPr>
    </w:p>
    <w:p w:rsidR="00991F6E" w:rsidRDefault="00991F6E">
      <w:pPr>
        <w:pStyle w:val="Footer"/>
        <w:tabs>
          <w:tab w:val="clear" w:pos="4677"/>
          <w:tab w:val="clear" w:pos="9355"/>
        </w:tabs>
        <w:rPr>
          <w:sz w:val="20"/>
        </w:rPr>
      </w:pPr>
    </w:p>
    <w:p w:rsidR="00991F6E" w:rsidRDefault="002B0840">
      <w:pPr>
        <w:pStyle w:val="Footer"/>
        <w:tabs>
          <w:tab w:val="clear" w:pos="4677"/>
          <w:tab w:val="clear" w:pos="9355"/>
        </w:tabs>
        <w:ind w:firstLine="720"/>
        <w:jc w:val="both"/>
      </w:pPr>
      <w:r>
        <w:t>Схема организационной структуры НК ЛУКойл подтверждает факт тот, что изменения стратегий и организационная структура находятся в тесной взаимосвязи. Стратегия компании является основным фактором, определяющим ее организационную структуру; многоцелевая стратегия усложняет организа-ционную структуру компании, совершенствуя которую компания обеспечивает эффективность решения стратегических задач. Как известно, можно выделить несколько этапов в развитиии фирмы, а именно 6. Нефтяная компания ЛУКойл находится на высшем уровне своего развития, т.е. компания занимает ведущее место среди НК на национальном рынке, и постепенно завоевывает позиции на мировом, расширяя сеть филиалов и представительств.</w:t>
      </w:r>
    </w:p>
    <w:p w:rsidR="00991F6E" w:rsidRDefault="00991F6E">
      <w:pPr>
        <w:pStyle w:val="Footer"/>
        <w:tabs>
          <w:tab w:val="clear" w:pos="4677"/>
          <w:tab w:val="clear" w:pos="9355"/>
        </w:tabs>
        <w:ind w:left="5040" w:firstLine="720"/>
        <w:rPr>
          <w:sz w:val="20"/>
        </w:rPr>
      </w:pPr>
    </w:p>
    <w:p w:rsidR="00991F6E" w:rsidRDefault="00991F6E">
      <w:pPr>
        <w:pStyle w:val="Footer"/>
        <w:tabs>
          <w:tab w:val="clear" w:pos="4677"/>
          <w:tab w:val="clear" w:pos="9355"/>
        </w:tabs>
        <w:ind w:left="5040" w:firstLine="720"/>
        <w:rPr>
          <w:sz w:val="20"/>
        </w:rPr>
      </w:pPr>
    </w:p>
    <w:p w:rsidR="00991F6E" w:rsidRDefault="002B0840">
      <w:pPr>
        <w:jc w:val="center"/>
        <w:rPr>
          <w:b/>
          <w:bCs/>
        </w:rPr>
      </w:pPr>
      <w:r>
        <w:rPr>
          <w:b/>
          <w:bCs/>
        </w:rPr>
        <w:t>Глава 2. Транснациональные планы компании - веление времени.</w:t>
      </w:r>
    </w:p>
    <w:p w:rsidR="00991F6E" w:rsidRDefault="00991F6E">
      <w:pPr>
        <w:jc w:val="both"/>
        <w:rPr>
          <w:b/>
          <w:bCs/>
        </w:rPr>
      </w:pPr>
    </w:p>
    <w:p w:rsidR="00991F6E" w:rsidRDefault="002B0840">
      <w:pPr>
        <w:ind w:firstLine="720"/>
        <w:jc w:val="both"/>
      </w:pPr>
      <w:r>
        <w:t>Становление «ЛУКойла» как транснациональной нефтяной компании было одной из важнейших задач, решение которой можно признать успешной. Подтверждением этому является заключение ряда контрактов на разведку и добычу нефти в странах ближнего и дальнего зарубежья. Актуальность поставленной задачи во многом обусловлена снижением экономической эффективности нефтедобывающих проектов на территории Российской Федерации и рядом других факторов.</w:t>
      </w:r>
    </w:p>
    <w:p w:rsidR="00991F6E" w:rsidRDefault="002B0840">
      <w:pPr>
        <w:ind w:firstLine="720"/>
        <w:jc w:val="both"/>
      </w:pPr>
      <w:r>
        <w:t>Постоянные усилия компании по расширению географии своей деятельности позволили заключить в марте 1997 г. наиболее крупный контракт по разработке нефтяного месторождения Западная Курна - вторая очередь в Республике Ирак, где доля «ЛУКойла» составляет 68,5%. Данное месторождение относится к одному из крупнейших в мире.    Извлекаемые запасы нефти составляют около 1 млрд т. Проект, рассчитанный на 23 года, предусматривает добыть около 700 млн тонн при инвестициях в проект 3,7 млрд долларов. В настоящее время начата реализация положений контракта, создана операционная компания – «ЛУКОЙЛ Мид Ист Оперейшнл», составляется Технологическая схема разработки     месторождения, проводится тендер по выбору института для проведения проектных работ. Все эти мероприятия осуществляются за пределами Республики Ирак и не подпадают под действие резолюций СБ ООН. Значительной вехой в зарубежной деятельности НК «ЛУКОЙЛ» стало вхождение компании в состав подрядчиков на месторождении Карачаганак в Республике Казахстан. В ноябре 1997 г. подписано Соглашение о разделе продукции по месторождению Карачаганак, в котором доля «ЛУКОЙЛа» составляет 15%. Месторождение также относится к разряду уникальных. Балансовые запасы составляют: газа 1,3 трлн м</w:t>
      </w:r>
      <w:r>
        <w:rPr>
          <w:vertAlign w:val="superscript"/>
        </w:rPr>
        <w:t>3</w:t>
      </w:r>
      <w:r>
        <w:t>, конденсата 735 млн т и нефти - 379 млн т. В соответствии с контрактом планируется добыть за 40 лет свыше 800 млрд м</w:t>
      </w:r>
      <w:r>
        <w:rPr>
          <w:vertAlign w:val="superscript"/>
        </w:rPr>
        <w:t>3</w:t>
      </w:r>
      <w:r>
        <w:t xml:space="preserve"> газа и около 300 млн т конденсата.</w:t>
      </w:r>
    </w:p>
    <w:p w:rsidR="00991F6E" w:rsidRDefault="002B0840">
      <w:pPr>
        <w:jc w:val="both"/>
      </w:pPr>
      <w:r>
        <w:t xml:space="preserve">Еще один новый проект, реализуемый в Казахстане, предусматривает проведение геолого-разведочных работ на перспективных структурах, расположенных в непосредственной близости от месторождения Кумколь, на котором ведется добыча нефти с 1996 г. В данном проекте «ЛУКОЙЛ» является единственным владельцем лицензии. В рамках минимальной рабочей программы, рассчитанной на 5 лет, предусмотрено выполнить более 900 км сейсмопрофилей и пробурить две разведочные скважины. В случае открытия промышленных запасов углеводородов на данной площади «ЛУКОЙЛ» имеет приоритетное право на разработку и эксплуатацию этого месторождения. </w:t>
      </w:r>
    </w:p>
    <w:p w:rsidR="00991F6E" w:rsidRDefault="002B0840">
      <w:pPr>
        <w:ind w:firstLine="720"/>
        <w:jc w:val="both"/>
      </w:pPr>
      <w:r>
        <w:t>Большое внимание компания придает развитию морских проектов на территории Российской Федерации. Свидетельством тому стал выигрыш в конкурсе на право пользования недрами (поиск, разведка и добыча углеводородов) на шельфе Северного Каспия. Для ведения геолого-разведочных и добычных работ в этом районе создано дочернее предприятие «ЛУКОЙЛ-Астраханьморнефть».</w:t>
      </w:r>
    </w:p>
    <w:p w:rsidR="00991F6E" w:rsidRDefault="002B0840">
      <w:pPr>
        <w:ind w:firstLine="720"/>
        <w:jc w:val="both"/>
      </w:pPr>
      <w:r>
        <w:t xml:space="preserve">Расширяется деятельность компании и в Азербайджане. Свидетельством тому стало подписание и ратификация Соглашения о разведке, разработке и деловом разделе добычи по перспективному блоку Д-222 (Ялама-Самурский свод) в Каспийском море. </w:t>
      </w:r>
    </w:p>
    <w:p w:rsidR="00991F6E" w:rsidRDefault="002B0840">
      <w:pPr>
        <w:ind w:firstLine="720"/>
        <w:jc w:val="both"/>
      </w:pPr>
      <w:r>
        <w:t>На шельфе Балтийского моря компания прорабатывает варианты обустройства и разработки месторождения Кравцовское. В прошлом году был произведен расчет технико-экономических показателей проекта, подготовлен бизнес-план.</w:t>
      </w:r>
    </w:p>
    <w:p w:rsidR="00991F6E" w:rsidRDefault="002B0840">
      <w:pPr>
        <w:jc w:val="both"/>
      </w:pPr>
      <w:r>
        <w:t xml:space="preserve">Кроме вышеназванных проектов, контракты по которым были заключены в 1997 г., продолжалась работа по уже действующим проектам, таким как Азери-Чираг-Гюнешли, перспективные структуры Карабах и Шах-Дениз в Азербайджане; разработка месторождений Кумколь и Тенгиз в Казахстане, концессионное соглашение по     месторождению Мелея в Египте. Добыча нефти на них в 1997г. составила свыше 500 тыс. т. </w:t>
      </w:r>
    </w:p>
    <w:p w:rsidR="00991F6E" w:rsidRDefault="002B0840">
      <w:pPr>
        <w:ind w:firstLine="720"/>
        <w:jc w:val="both"/>
      </w:pPr>
      <w:r>
        <w:t>Произошло существенное продвижение в освоении нефтяных месторождений в Азербайджане. В ноябре 1997 г. началась добыча с морской стационарной платформы Чираг-1. До конца года там было добыто около 50 тыс. т. А в октябре началась перекачка азербайджанской нефти по северному маршруту (Баку-Грозный-Тихорецк-Новороссийск).     Всего в минувшем году по этому маршруту было прокачано 120 тыс. т нефти. «ЛУКОЙЛ» выиграл тендер на закупку первых 40 тыс. т.</w:t>
      </w:r>
    </w:p>
    <w:p w:rsidR="00991F6E" w:rsidRDefault="002B0840">
      <w:pPr>
        <w:jc w:val="both"/>
      </w:pPr>
      <w:r>
        <w:t>Приоритетным направлением для «ЛУКОЙЛа» является также участие в проекте Каспийского трубопроводного консорциума (КТК). К настоящему времени завершена работа по его реорганизации, подписаны заключительные соглашения, обеспечивающие финансирование строительства трубопровода протяженностью 1500 км. Пропускная     способность после завершения первого этапа строительства составит 28 млн т нефти в год. В случае выполнения запланированного графика работ к строительству трубопровода можно будет приступить во второй половине 1998 г.     Таким образом, «ЛУКОЙЛ» положил начало решению задачи полномасштабного выхода на международную арену, и работа компании в рамках уже действующих зарубежных проектов ставит ее перед необходимостью адекватного присутствия ее предпринимательских структур как в ближнем, так и дальнем зарубежье.</w:t>
      </w:r>
    </w:p>
    <w:p w:rsidR="00991F6E" w:rsidRDefault="002B0840">
      <w:pPr>
        <w:ind w:firstLine="720"/>
        <w:jc w:val="both"/>
      </w:pPr>
      <w:r>
        <w:t>Наиболее очевидной формой такого присутствия может быть сеть дочерних структур или представительств компании в нефтедобывающих странах, представляющих интерес для «ЛУКОЙЛа» с точки зрения либо добычи, либо сбыта нефти и нефтепродуктов, как, впрочем, и выполнения целого ряда родственных задач. В этом отношении любопытен опыт иностранных нефтяных компаний, для которых такая сеть филиалов и представительств является фундаментом, на котором строится вся их зарубежная деятельность.</w:t>
      </w:r>
    </w:p>
    <w:p w:rsidR="00991F6E" w:rsidRDefault="002B0840">
      <w:pPr>
        <w:jc w:val="both"/>
      </w:pPr>
      <w:r>
        <w:t xml:space="preserve">    </w:t>
      </w:r>
      <w:r>
        <w:tab/>
        <w:t>Поэтому, продолжая решать задачи по поиску новых перспективных проектов в странах СНГ и дальнего зарубежья, увеличивая добычу нефти и запасов углеводородного сырья, компания будет совершенствовать и структуру управления   зарубежными проектами.</w:t>
      </w:r>
    </w:p>
    <w:p w:rsidR="00991F6E" w:rsidRDefault="00991F6E">
      <w:pPr>
        <w:jc w:val="both"/>
      </w:pPr>
    </w:p>
    <w:p w:rsidR="00991F6E" w:rsidRDefault="002B0840">
      <w:pPr>
        <w:pStyle w:val="BodyText2"/>
      </w:pPr>
      <w:r>
        <w:t>Заключение: от метода проб и ошибок к стратегическому планированию</w:t>
      </w:r>
    </w:p>
    <w:p w:rsidR="00991F6E" w:rsidRDefault="002B0840">
      <w:pPr>
        <w:jc w:val="both"/>
      </w:pPr>
      <w:r>
        <w:tab/>
        <w:t>Опыт «ЛУКойла» показал, что характерный для сегодняшней практики метод проб и ошибок исчерпал себя. В условиях рыночной экономики и растущей конкуренции допускаемые ошибки в стратегиях могут обострить проблемы и создать угрозы самой выживаемости нефтяных компаний.</w:t>
      </w:r>
    </w:p>
    <w:p w:rsidR="00991F6E" w:rsidRDefault="002B0840">
      <w:pPr>
        <w:ind w:firstLine="720"/>
        <w:jc w:val="both"/>
      </w:pPr>
      <w:r>
        <w:t>Выход, по мнению президента НК «ЛУКойл» Вагита Алекперова, состоит в создании научно обоснованной концепции и моделей устойчивого развития нефтяных компаний с решением на этой основе практических задач.</w:t>
      </w:r>
    </w:p>
    <w:p w:rsidR="00991F6E" w:rsidRDefault="002B0840">
      <w:pPr>
        <w:pStyle w:val="BodyTextIndent"/>
        <w:rPr>
          <w:spacing w:val="0"/>
          <w:position w:val="0"/>
        </w:rPr>
      </w:pPr>
      <w:r>
        <w:rPr>
          <w:spacing w:val="0"/>
          <w:position w:val="0"/>
        </w:rPr>
        <w:t xml:space="preserve">Суть нового подхода - целевая ориентация на одновременное и взаимосвязанное увеличение ресурсно-производственного потенциала, повышение финансовых результатов, обеспечение социальной и экологической безопасности. Это означает, что долгосрочное и стабильное увеличение прибыли как критерий успеха в условиях рыночной экономики должно иметь прочное, постоянно укрепляемое ресурсно-производственное основание, придающее росту финансовых результатов деятельности нефтяных компаний необходимую устойчивость. При этом обязательным условием является решение социальных задач и достижение экологической безопасности. </w:t>
      </w:r>
    </w:p>
    <w:p w:rsidR="00991F6E" w:rsidRDefault="002B0840">
      <w:pPr>
        <w:ind w:firstLine="720"/>
        <w:jc w:val="both"/>
      </w:pPr>
      <w:r>
        <w:t>Все эти задачи в той или иной степени решались и раньше. Но только в рамках концепции устойчивого развития их взаимосвязанное сбалансированное достижение ставится на прочную долгосрочную плановую основу.</w:t>
      </w:r>
    </w:p>
    <w:p w:rsidR="00991F6E" w:rsidRDefault="00991F6E">
      <w:pPr>
        <w:ind w:left="360"/>
      </w:pPr>
    </w:p>
    <w:p w:rsidR="00991F6E" w:rsidRDefault="002B0840">
      <w:pPr>
        <w:ind w:firstLine="720"/>
        <w:jc w:val="both"/>
      </w:pPr>
      <w:r>
        <w:t>Основой выбора путей устойчивого развития нефтяной компании является стратегический маркетинг с оценкой перспектив динамики спроса, предложения и цен на нефть и нефтепродукты.</w:t>
      </w:r>
    </w:p>
    <w:p w:rsidR="00991F6E" w:rsidRDefault="002B0840">
      <w:pPr>
        <w:ind w:firstLine="720"/>
        <w:jc w:val="both"/>
      </w:pPr>
      <w:r>
        <w:t>Уровень спроса и его динамика - это наиболее мощный внешний фактор, определяющий устойчивость развития нефтяных компаний. В условиях экономического кризиса слабый и даже сокращающийся платежеспособный спрос на внутреннем рынке России - главное препятствие на пути устойчивого развития отечественных нефтяных компаний. Именно в связи с вялым платежеспособным спросом возникают неплатежи, суррогатные платежные инструменты, невостребованность производственных мощностей и другие сложности на пути достижения эффекта устойчивого развития.</w:t>
      </w:r>
    </w:p>
    <w:p w:rsidR="00991F6E" w:rsidRDefault="002B0840">
      <w:pPr>
        <w:ind w:firstLine="720"/>
        <w:jc w:val="both"/>
      </w:pPr>
      <w:r>
        <w:t>Что касается спроса на внешних рынках, то на сырую нефть такой спрос есть. Но необходимо учитывать ограниченные возможности транспортировки нефти на экспорт и просто общественную недопустимость игнорирования пусть неплатежеспособного, но существующего внутреннего рынка.</w:t>
      </w:r>
    </w:p>
    <w:p w:rsidR="00991F6E" w:rsidRDefault="002B0840">
      <w:pPr>
        <w:jc w:val="both"/>
      </w:pPr>
      <w:r>
        <w:tab/>
        <w:t xml:space="preserve">В целом, с учетом динамики спроса и разницы внутренних и мировых цен, еще на многие годы вперед наращивание экспорта нефти - основа устойчивости финансового положения нефтяной компании. </w:t>
      </w:r>
    </w:p>
    <w:p w:rsidR="00991F6E" w:rsidRDefault="00991F6E">
      <w:pPr>
        <w:ind w:left="360"/>
        <w:rPr>
          <w:b/>
          <w:bCs/>
          <w:sz w:val="28"/>
        </w:rPr>
      </w:pPr>
    </w:p>
    <w:p w:rsidR="00991F6E" w:rsidRDefault="00991F6E">
      <w:pPr>
        <w:ind w:left="360"/>
        <w:jc w:val="both"/>
      </w:pPr>
    </w:p>
    <w:p w:rsidR="00991F6E" w:rsidRDefault="00991F6E">
      <w:pPr>
        <w:jc w:val="both"/>
        <w:rPr>
          <w:rFonts w:ascii="CG Times" w:hAnsi="CG Times"/>
        </w:rPr>
      </w:pPr>
    </w:p>
    <w:p w:rsidR="00991F6E" w:rsidRDefault="00991F6E">
      <w:pPr>
        <w:ind w:firstLine="720"/>
        <w:jc w:val="both"/>
      </w:pPr>
    </w:p>
    <w:p w:rsidR="00991F6E" w:rsidRDefault="00991F6E"/>
    <w:p w:rsidR="00991F6E" w:rsidRDefault="00991F6E">
      <w:pPr>
        <w:pStyle w:val="Heading2"/>
      </w:pPr>
    </w:p>
    <w:p w:rsidR="00991F6E" w:rsidRDefault="00991F6E">
      <w:pPr>
        <w:jc w:val="both"/>
      </w:pPr>
    </w:p>
    <w:p w:rsidR="00991F6E" w:rsidRDefault="00991F6E">
      <w:pPr>
        <w:jc w:val="both"/>
      </w:pPr>
    </w:p>
    <w:p w:rsidR="00991F6E" w:rsidRDefault="00991F6E"/>
    <w:p w:rsidR="00991F6E" w:rsidRDefault="00991F6E">
      <w:pPr>
        <w:ind w:left="1440" w:firstLine="720"/>
        <w:rPr>
          <w:b/>
          <w:bCs/>
        </w:rPr>
      </w:pPr>
    </w:p>
    <w:p w:rsidR="00991F6E" w:rsidRDefault="00991F6E">
      <w:pPr>
        <w:ind w:left="1440" w:firstLine="720"/>
        <w:rPr>
          <w:b/>
          <w:bCs/>
        </w:rPr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both"/>
      </w:pPr>
    </w:p>
    <w:p w:rsidR="00991F6E" w:rsidRDefault="00991F6E">
      <w:pPr>
        <w:ind w:firstLine="720"/>
        <w:jc w:val="center"/>
        <w:rPr>
          <w:b/>
          <w:bCs/>
          <w:sz w:val="32"/>
        </w:rPr>
      </w:pPr>
    </w:p>
    <w:p w:rsidR="00991F6E" w:rsidRDefault="002B0840">
      <w:pPr>
        <w:ind w:firstLine="720"/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литературы:</w:t>
      </w:r>
    </w:p>
    <w:p w:rsidR="00991F6E" w:rsidRDefault="00991F6E">
      <w:pPr>
        <w:ind w:firstLine="720"/>
        <w:jc w:val="both"/>
      </w:pPr>
    </w:p>
    <w:p w:rsidR="00991F6E" w:rsidRDefault="002B0840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Алекперов В.Ю. «Вертикально-интегрированные компании России». М., 1996, изд. Аутопан.</w:t>
      </w:r>
    </w:p>
    <w:p w:rsidR="00991F6E" w:rsidRDefault="002B0840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«Нефть Росии» ,  М.,97г., №2</w:t>
      </w:r>
    </w:p>
    <w:p w:rsidR="00991F6E" w:rsidRDefault="002B0840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«Нефть России», М., 97г., №3</w:t>
      </w:r>
    </w:p>
    <w:p w:rsidR="00991F6E" w:rsidRDefault="002B0840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Колядов Л.В., Н.П.Епифанова...»Структурная престройка в нефтегазовом комплексе страны»  М.1997г</w:t>
      </w:r>
    </w:p>
    <w:p w:rsidR="00991F6E" w:rsidRDefault="002B0840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Колядов Л.В., Л.А. Комарова, Н.П.Епифанова «Структура управления нефтяными компаниями», М.1997г.</w:t>
      </w:r>
    </w:p>
    <w:p w:rsidR="00991F6E" w:rsidRDefault="002B0840">
      <w:pPr>
        <w:numPr>
          <w:ilvl w:val="0"/>
          <w:numId w:val="2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«Нефть России», М.,97г, №1</w:t>
      </w:r>
      <w:bookmarkStart w:id="0" w:name="_GoBack"/>
      <w:bookmarkEnd w:id="0"/>
    </w:p>
    <w:sectPr w:rsidR="00991F6E">
      <w:footerReference w:type="even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6E" w:rsidRDefault="002B0840">
      <w:r>
        <w:separator/>
      </w:r>
    </w:p>
  </w:endnote>
  <w:endnote w:type="continuationSeparator" w:id="0">
    <w:p w:rsidR="00991F6E" w:rsidRDefault="002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F6E" w:rsidRDefault="002B0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F6E" w:rsidRDefault="00991F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F6E" w:rsidRDefault="002B0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991F6E" w:rsidRDefault="00991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6E" w:rsidRDefault="002B0840">
      <w:r>
        <w:separator/>
      </w:r>
    </w:p>
  </w:footnote>
  <w:footnote w:type="continuationSeparator" w:id="0">
    <w:p w:rsidR="00991F6E" w:rsidRDefault="002B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C16F5"/>
    <w:multiLevelType w:val="hybridMultilevel"/>
    <w:tmpl w:val="CBCE3844"/>
    <w:lvl w:ilvl="0" w:tplc="ED544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0F10E88"/>
    <w:multiLevelType w:val="hybridMultilevel"/>
    <w:tmpl w:val="25E2A3FA"/>
    <w:lvl w:ilvl="0" w:tplc="3260E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840"/>
    <w:rsid w:val="002B0840"/>
    <w:rsid w:val="00991F6E"/>
    <w:rsid w:val="00A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"/>
    <o:shapelayout v:ext="edit">
      <o:idmap v:ext="edit" data="1"/>
    </o:shapelayout>
  </w:shapeDefaults>
  <w:decimalSymbol w:val=","/>
  <w:listSeparator w:val=";"/>
  <w15:chartTrackingRefBased/>
  <w15:docId w15:val="{CACADF1F-772B-4978-BFEE-5F9B6077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G Times" w:hAnsi="CG Times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semiHidden/>
    <w:pPr>
      <w:ind w:firstLine="720"/>
      <w:jc w:val="both"/>
    </w:pPr>
    <w:rPr>
      <w:spacing w:val="20"/>
      <w:position w:val="6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Современная нефтяная компания - это нечто большее, чем сложнейшие высокие технологии на всех стадиях от разведки</vt:lpstr>
    </vt:vector>
  </TitlesOfParts>
  <Company>students inc.</Company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нефтяная компания - это нечто большее, чем сложнейшие высокие технологии на всех стадиях от разведки</dc:title>
  <dc:subject/>
  <dc:creator>Rustam Gifoutdinov</dc:creator>
  <cp:keywords/>
  <dc:description/>
  <cp:lastModifiedBy>Irina</cp:lastModifiedBy>
  <cp:revision>2</cp:revision>
  <cp:lastPrinted>1998-11-17T16:13:00Z</cp:lastPrinted>
  <dcterms:created xsi:type="dcterms:W3CDTF">2014-11-29T21:20:00Z</dcterms:created>
  <dcterms:modified xsi:type="dcterms:W3CDTF">2014-11-29T21:20:00Z</dcterms:modified>
</cp:coreProperties>
</file>