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97" w:rsidRPr="00921D3F" w:rsidRDefault="00EC1797" w:rsidP="00921D3F">
      <w:pPr>
        <w:pStyle w:val="Default"/>
        <w:shd w:val="clear" w:color="000000" w:fill="auto"/>
        <w:spacing w:line="360" w:lineRule="auto"/>
        <w:ind w:firstLine="709"/>
        <w:jc w:val="both"/>
        <w:rPr>
          <w:b/>
          <w:color w:val="auto"/>
          <w:sz w:val="28"/>
          <w:szCs w:val="32"/>
        </w:rPr>
      </w:pPr>
      <w:r w:rsidRPr="00921D3F">
        <w:rPr>
          <w:b/>
          <w:color w:val="auto"/>
          <w:sz w:val="28"/>
          <w:szCs w:val="32"/>
        </w:rPr>
        <w:t>С</w:t>
      </w:r>
      <w:r w:rsidR="00F64CB5" w:rsidRPr="00921D3F">
        <w:rPr>
          <w:b/>
          <w:color w:val="auto"/>
          <w:sz w:val="28"/>
          <w:szCs w:val="32"/>
        </w:rPr>
        <w:t>одержание</w:t>
      </w:r>
    </w:p>
    <w:p w:rsidR="00921D3F" w:rsidRDefault="00921D3F" w:rsidP="00921D3F">
      <w:pPr>
        <w:pStyle w:val="1"/>
        <w:shd w:val="clear" w:color="000000" w:fill="auto"/>
        <w:tabs>
          <w:tab w:val="right" w:leader="dot" w:pos="9345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EC1797" w:rsidRPr="00921D3F" w:rsidRDefault="00EC1797" w:rsidP="00921D3F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102BB0">
        <w:rPr>
          <w:rStyle w:val="a6"/>
          <w:noProof/>
          <w:sz w:val="28"/>
          <w:szCs w:val="32"/>
        </w:rPr>
        <w:t>Введение</w:t>
      </w:r>
    </w:p>
    <w:p w:rsidR="00EC1797" w:rsidRPr="00921D3F" w:rsidRDefault="00EC1797" w:rsidP="00921D3F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102BB0">
        <w:rPr>
          <w:rStyle w:val="a6"/>
          <w:noProof/>
          <w:sz w:val="28"/>
          <w:szCs w:val="32"/>
        </w:rPr>
        <w:t>Интернет и современный человек</w:t>
      </w:r>
    </w:p>
    <w:p w:rsidR="00EC1797" w:rsidRPr="00921D3F" w:rsidRDefault="00EC1797" w:rsidP="00921D3F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102BB0">
        <w:rPr>
          <w:rStyle w:val="a6"/>
          <w:bCs/>
          <w:noProof/>
          <w:sz w:val="28"/>
          <w:szCs w:val="32"/>
        </w:rPr>
        <w:t>Блоггерство - некоторые психологические аспекты явления</w:t>
      </w:r>
    </w:p>
    <w:p w:rsidR="00EC1797" w:rsidRPr="00921D3F" w:rsidRDefault="00EC1797" w:rsidP="00921D3F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102BB0">
        <w:rPr>
          <w:rStyle w:val="a6"/>
          <w:bCs/>
          <w:noProof/>
          <w:sz w:val="28"/>
          <w:szCs w:val="32"/>
        </w:rPr>
        <w:t>Гендерные баннеров в сети Интернет</w:t>
      </w:r>
    </w:p>
    <w:p w:rsidR="00EC1797" w:rsidRPr="00921D3F" w:rsidRDefault="00EC1797" w:rsidP="00921D3F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102BB0">
        <w:rPr>
          <w:rStyle w:val="a6"/>
          <w:bCs/>
          <w:noProof/>
          <w:sz w:val="28"/>
          <w:szCs w:val="32"/>
        </w:rPr>
        <w:t>Заключение</w:t>
      </w:r>
    </w:p>
    <w:p w:rsidR="00EC1797" w:rsidRPr="00921D3F" w:rsidRDefault="00EC1797" w:rsidP="00921D3F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102BB0">
        <w:rPr>
          <w:rStyle w:val="a6"/>
          <w:bCs/>
          <w:noProof/>
          <w:sz w:val="28"/>
          <w:szCs w:val="32"/>
        </w:rPr>
        <w:t>Список литературы</w:t>
      </w:r>
    </w:p>
    <w:p w:rsidR="00921D3F" w:rsidRDefault="00921D3F" w:rsidP="00921D3F">
      <w:pPr>
        <w:pStyle w:val="Default"/>
        <w:shd w:val="clear" w:color="000000" w:fill="auto"/>
        <w:spacing w:line="360" w:lineRule="auto"/>
        <w:ind w:firstLine="709"/>
        <w:jc w:val="both"/>
        <w:rPr>
          <w:b/>
          <w:color w:val="auto"/>
          <w:sz w:val="28"/>
          <w:szCs w:val="32"/>
        </w:rPr>
      </w:pPr>
      <w:bookmarkStart w:id="0" w:name="_Toc261000288"/>
    </w:p>
    <w:p w:rsidR="00C62D0C" w:rsidRDefault="00921D3F" w:rsidP="00921D3F">
      <w:pPr>
        <w:pStyle w:val="Default"/>
        <w:shd w:val="clear" w:color="000000" w:fill="auto"/>
        <w:spacing w:line="360" w:lineRule="auto"/>
        <w:ind w:firstLine="709"/>
        <w:jc w:val="both"/>
        <w:rPr>
          <w:b/>
          <w:color w:val="auto"/>
          <w:sz w:val="28"/>
          <w:szCs w:val="32"/>
        </w:rPr>
      </w:pPr>
      <w:r>
        <w:rPr>
          <w:b/>
          <w:color w:val="auto"/>
          <w:sz w:val="28"/>
          <w:szCs w:val="32"/>
        </w:rPr>
        <w:br w:type="page"/>
      </w:r>
      <w:r w:rsidR="00C62D0C" w:rsidRPr="00921D3F">
        <w:rPr>
          <w:b/>
          <w:color w:val="auto"/>
          <w:sz w:val="28"/>
          <w:szCs w:val="32"/>
        </w:rPr>
        <w:t>Введение</w:t>
      </w:r>
      <w:bookmarkEnd w:id="0"/>
    </w:p>
    <w:p w:rsidR="00921D3F" w:rsidRPr="00921D3F" w:rsidRDefault="00921D3F" w:rsidP="00921D3F">
      <w:pPr>
        <w:pStyle w:val="Default"/>
        <w:shd w:val="clear" w:color="000000" w:fill="auto"/>
        <w:spacing w:line="360" w:lineRule="auto"/>
        <w:ind w:firstLine="709"/>
        <w:jc w:val="both"/>
        <w:rPr>
          <w:b/>
          <w:color w:val="auto"/>
          <w:sz w:val="28"/>
          <w:szCs w:val="32"/>
        </w:rPr>
      </w:pPr>
    </w:p>
    <w:p w:rsidR="00EC1797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Процесс виртуализации, возникший из-за внедрения новых виртуальных технологий, породил киберпространство, которое изменило саму реальность, раздвоив её на объективную реальность, ограниченную многими факторами и, виртуальную, неограниченную ничем, кроме несовершенства технологий или собственного воображения. </w:t>
      </w:r>
      <w:r w:rsidR="00EC1797" w:rsidRPr="00921D3F">
        <w:rPr>
          <w:color w:val="auto"/>
          <w:sz w:val="28"/>
          <w:szCs w:val="32"/>
        </w:rPr>
        <w:t xml:space="preserve">Многие специалисты утверждают, что киберпространство порождает множество различных феноменов. На сегодняшний день широко изучаются киберзависимости. Например, такие факты как вовлеченность в путешествие по Интернету с одного сайта на другой приводит к тому, что люди начинают воспринимать компьютеры как продолжение своей личности в «киберпространстве», отражающем их вкусы и интересы. </w:t>
      </w:r>
    </w:p>
    <w:p w:rsidR="00C62D0C" w:rsidRPr="00921D3F" w:rsidRDefault="00921D3F" w:rsidP="00921D3F">
      <w:pPr>
        <w:pStyle w:val="Default"/>
        <w:shd w:val="clear" w:color="000000" w:fill="auto"/>
        <w:spacing w:line="360" w:lineRule="auto"/>
        <w:ind w:firstLine="709"/>
        <w:jc w:val="both"/>
        <w:outlineLvl w:val="1"/>
        <w:rPr>
          <w:b/>
          <w:color w:val="auto"/>
          <w:sz w:val="28"/>
          <w:szCs w:val="32"/>
        </w:rPr>
      </w:pPr>
      <w:bookmarkStart w:id="1" w:name="_Toc261000289"/>
      <w:r>
        <w:rPr>
          <w:b/>
          <w:color w:val="auto"/>
          <w:sz w:val="28"/>
          <w:szCs w:val="32"/>
        </w:rPr>
        <w:br w:type="page"/>
      </w:r>
      <w:r w:rsidR="00C62D0C" w:rsidRPr="00921D3F">
        <w:rPr>
          <w:b/>
          <w:color w:val="auto"/>
          <w:sz w:val="28"/>
          <w:szCs w:val="32"/>
        </w:rPr>
        <w:t>Интернет и современный человек</w:t>
      </w:r>
      <w:bookmarkEnd w:id="1"/>
    </w:p>
    <w:p w:rsidR="00921D3F" w:rsidRDefault="00921D3F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EC1797" w:rsidRPr="00921D3F" w:rsidRDefault="00EC1797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Одним из множества новшеств, появившихся на стыке современного человека и новейших электронных технологий является общение с использованием всемирной сети Интернет и сотовой связи. По определению Джерона Ланье, который в </w:t>
      </w:r>
      <w:smartTag w:uri="urn:schemas-microsoft-com:office:smarttags" w:element="metricconverter">
        <w:smartTagPr>
          <w:attr w:name="ProductID" w:val="1989 г"/>
        </w:smartTagPr>
        <w:r w:rsidRPr="00921D3F">
          <w:rPr>
            <w:color w:val="auto"/>
            <w:sz w:val="28"/>
            <w:szCs w:val="32"/>
          </w:rPr>
          <w:t>1989 г</w:t>
        </w:r>
      </w:smartTag>
      <w:r w:rsidRPr="00921D3F">
        <w:rPr>
          <w:color w:val="auto"/>
          <w:sz w:val="28"/>
          <w:szCs w:val="32"/>
        </w:rPr>
        <w:t>. и ввёл это понятие, виртуальная реальность - это иммерсивная и интерактивная имитация реалистичных и вымышленных сред, т.е. некий иллюзорный мир, в который погружается и с которым взаимодействует человек, причем создается этот мир имитационной системой, способной формировать соответственные стимулы в сенсорном поле человека и воспринимать его ответные реакции в моторном поле в реальном времени.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Таким образом, компьютеры и киберпространство в каком-то смысле можно рассматривать как тип «промежуточного пространства», расширяющего внутренний психический мир человека. Это состояние может настолько захватывать, что временами происходит растворение собственного «Я».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>Другой немаловажной проблемой является уход от реальности. Человек перестает выполнять функции, к которым он привык в обыденной жизни. И - очень важный момент - происходит социальная дезадаптация. Постепенно пользователь, активно использующий Интернет, начинает относиться к компьютеру, как к живому существу или же начинает отождествлять себя с компьютером. Постепенно стирается грань между живым и неживым, между личностью и компьютером, материальным и духовным, между реальностью компьютера и истинной реальностью. Она позволяет развиваться субъективно приятным эмоциональным состояниям искусс</w:t>
      </w:r>
      <w:r w:rsidR="008C1E7B">
        <w:rPr>
          <w:color w:val="auto"/>
          <w:sz w:val="28"/>
          <w:szCs w:val="32"/>
        </w:rPr>
        <w:t>твенно меняя «настроение духа».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Прежде всего, этот факт можно проследить у тех пользователей, которые имеют большой опыт или, скорее привычка использовать телекоммуникационные технологии для общения и поиска информации через телекоммуникационные системы. Ведь только в киберпространстве возможно найти для себя оптимальное сочетание отражения своих вкусов, интересов и ожиданий. По нашему мнению, «телекоммуникационное общение», то есть общение при помощи электронных средств связи, привлекает современных ученых-исследователей потому что ему свойственна некоторая парадоксальность и влияние на внутренние аспекты «Я» личности. Так, с точки зрения постпозитивистской парадигмы объяснить личность – значит объяснить то, как конструируется его реальность, какой смысл он приписывает окружающим ее природным и социальным феноменам и себе самому. В нашем случае, когда мы рассматриваем общение с точки зрения виртуального дискурса, можно сделать предположение о том, что механизмы конструирования образов «другого» в этой квазиреальности отличаются от того, что происходит при непосредственном общении. В таком случае имеет смысл говорить о том, что эти механизмы различны и в формировании самой, на этот раз уже реальной личности или, с точки зрения постпозитивистов её самости («self»).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>По словам представителя школы социального конструкционизма К.</w:t>
      </w:r>
      <w:r w:rsidR="008C1E7B">
        <w:rPr>
          <w:color w:val="auto"/>
          <w:sz w:val="28"/>
          <w:szCs w:val="32"/>
        </w:rPr>
        <w:t xml:space="preserve"> </w:t>
      </w:r>
      <w:r w:rsidRPr="00921D3F">
        <w:rPr>
          <w:color w:val="auto"/>
          <w:sz w:val="28"/>
          <w:szCs w:val="32"/>
        </w:rPr>
        <w:t xml:space="preserve">Гергена, раньше социальные отношения ограничивались пределами физической достижимости: семьей, соседями, односельчанами. Набор «других» оставался относительно неизменным, ценности и цели, по которым жил человек были в повседневной жизни. Теперь же, новейшие технологии, которые К. Герген называет технологиями «социального насыщения» все больше внедряются в жизнь. Они расширяют рамки социальных контактов за границы непосредственного социального окружения. Отношения больше не ограничиваются фактом физического присутствия, могут осуществляться на большом расстоянии и с высокой скоростью. Также, по его мнению, с проникновением в жизнь технологий «социального насыщения» стабильные семейные или дружеские сообщества постепенно исчезают. Однако некоторые из них не исчезают совсем, а переносятся в виртуальное пространство. К. Герген приходит к выводу о мультиплицировании «self», о его изменении в соответствии с изменившимися условиями среды и взаимоотношений. И это неудивительно. Однако непонятным всё же остаются некоторые особенности протекающие в рамках телекоммуникационного общения. Например, остается непонятным то, как процесс общения в виртуальном мире влияет на восприятие человека человеком, каким законам подвержено восприятие внешней картины мира через внутренние механизмы и наоборот,5 как происходит это изменение? Неясно как изменяется идентичность личности при вступлении, например в электронную переписку с незнакомым человеком, а также каким и под действием каких механизмов она изменяется; какова природа и механизмы возникающих в процессе такого общения аттитюдов и зависят ли они от гендерных различий, уровня образования или чего-то еще? </w:t>
      </w:r>
    </w:p>
    <w:p w:rsidR="0041665A" w:rsidRPr="00921D3F" w:rsidRDefault="0041665A" w:rsidP="00921D3F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41665A" w:rsidRPr="00921D3F" w:rsidRDefault="00EC1797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bCs/>
          <w:sz w:val="28"/>
          <w:szCs w:val="32"/>
        </w:rPr>
      </w:pPr>
      <w:bookmarkStart w:id="2" w:name="_Toc261000290"/>
      <w:r w:rsidRPr="00921D3F">
        <w:rPr>
          <w:b/>
          <w:bCs/>
          <w:sz w:val="28"/>
          <w:szCs w:val="32"/>
        </w:rPr>
        <w:t>Блоггерство -</w:t>
      </w:r>
      <w:r w:rsidR="0041665A" w:rsidRPr="00921D3F">
        <w:rPr>
          <w:b/>
          <w:bCs/>
          <w:sz w:val="28"/>
          <w:szCs w:val="32"/>
        </w:rPr>
        <w:t xml:space="preserve"> некоторые психологические аспекты явления</w:t>
      </w:r>
      <w:bookmarkEnd w:id="2"/>
    </w:p>
    <w:p w:rsidR="008C1E7B" w:rsidRDefault="008C1E7B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1665A" w:rsidRPr="00921D3F" w:rsidRDefault="0041665A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921D3F">
        <w:rPr>
          <w:sz w:val="28"/>
          <w:szCs w:val="32"/>
        </w:rPr>
        <w:t xml:space="preserve">Блоггерство в России начало формироваться много позже чем в других странах, но при этом весьма быстро и активно – аналогично темпам распространения в нашей стране сети Интернет в целом. </w:t>
      </w:r>
    </w:p>
    <w:p w:rsidR="0041665A" w:rsidRPr="00921D3F" w:rsidRDefault="0041665A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921D3F">
        <w:rPr>
          <w:sz w:val="28"/>
          <w:szCs w:val="32"/>
        </w:rPr>
        <w:t xml:space="preserve">Активная акцентуация внимания к блогам и блоггерам представителями-производителями отечественной массовой культуры, в том числе СМИ, говорит о том, что масштабность и независимость развития данного явления замечены не только «четвертой», но и другими властями. Таким образом, своевременность и актуальность исследований блоггерства обуславливается необходимостью и важностью раскрытия того психологического содержания, которое определяет в целом его социальный потенциал. </w:t>
      </w:r>
    </w:p>
    <w:p w:rsidR="0041665A" w:rsidRPr="00921D3F" w:rsidRDefault="0041665A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921D3F">
        <w:rPr>
          <w:sz w:val="28"/>
          <w:szCs w:val="32"/>
        </w:rPr>
        <w:t xml:space="preserve">К сожалению, несмотря на серьезный научный интерес представителей российской психологической науки к Интернет-коммуникациям и в целом высокий уровень исследованности связанной с ними проблематики, отечественные исследователи не обращались пока к социально-психологическому анализу блоггерства. Вместе с тем зарубежные ученые и другие специалисты, в частности практикующие психиатры-психологи и аналитики-обозреватели СМИ, неоднократно давали свои оценки природе и другим особенностям данного феномена и продолжают дальше уделять ему внимание. Показательно, но уже на стадии предварительного «знакомства» с российским блоггерством в нем можно обнаружить многие из тех черт, что приписываются социокультурному феномену зарубежными авторами. Так, согласно исследованиям Д. Дрезнера и Х. Фарелла блоги могут существенно влиять на настроения в обществе и формировать общественное мнение. По мнению доктора Д. Грохола, благодаря своей «условной» анонимности блог выступает своего рода «паспортом» (презентацией) личности человека в сети. Другой зарубежный специалист, М. Хоурлихан, обращает внимание на то, что основная «социальная подоплека» блога как способа передачи информации – это взаимодействие с людьми. Он утверждает, что блоггеры образуют особую социальную систему: начиная с простого обмена ссылками и упоминания приятелей в «посте» и заканчивая блоггерскими обедами «в реальности». </w:t>
      </w:r>
    </w:p>
    <w:p w:rsidR="0041665A" w:rsidRPr="00921D3F" w:rsidRDefault="0041665A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921D3F">
        <w:rPr>
          <w:sz w:val="28"/>
          <w:szCs w:val="32"/>
        </w:rPr>
        <w:t xml:space="preserve">На основе соотнесения результатов соответствующих исследований зарубежных специалистов и результатов нашей предварительной оценки явления, была высказана мысль о том, что российское блоггерство представляет собой национальный вариант развития социокультурного явления и потому не может не проявлять свои особенные социально-психологические черты. В качестве основных задач первоначального этапа исследований были запланированы установление основных, в том числе психологических, преимуществ блогов по отношению к другим способам/видам Интернет-коммуникаций (форум, чат), определение возрастного и социального состава блоггеров и психосемантический анализ записей (постов) в блогах. Основными подходами исследования выступали деятельностный и коммуникационный. В частности, мы опирались на положение о том, что общение как деятельность производится через речь, при этом как единую с языком, так и отличную от него, и что объектом данного вида деятельности является другой человек. Для обработки полученных непосредственно в ходе опроса данных применялись как общие методы статистики, так и специальные, в частности, непараметрический метод Спирмена, используемый в подобных исследованиях с целью установления связи между явлениями и определения для них коэффициента ранговой корреляции, и близкий ему по этим задачам U-критерий Манн-Уитни. Из других методов применялись методы участвующего наблюдения и интервьюирования. В процессе проведенных нами исследований было установлено, во-первых, что хотя блоги и являются весьма модным, популярным и распространенным видом Интернет-коммуникаций среди россиян, они все же не занимают абсолютно лидирующего положения по отношению к чатам и форумам. Кроме того, все более массовым у нас в стране становится использование такого вида Интернет-коммуникаций как ICQ. Из двух групп испытуемых – постоянных пользователей сети и пользующихся услугами Интернета от случая к случаю – предпочтение блогу высказало большее количество участников из первой группы. Помимо прочих преимуществ блога, они отметили такие его качества как психологическую комфортность и большую степень удовлетворенности их культурным и духовным запросам. Во-вторых, результатами исследований было также установлено, что возрастной и социальный состав российских блоггеров является весьма неоднородным, что необходимо связывать, на наш взгляд, именно с российской спецификой и менталитетом. И, в-третьих, анализ содержания записей в блогах показал, что блоггерство по своей природе глубоко психологично и «настоящими» блоггерами становятся в основном люди богатого духовного содержания, разносторонних взглядов, независимые (философичные) по своему типу мышления и образу жизни, использующие блоггерство как способ самораскрытия и самоактуализации в целом. </w:t>
      </w:r>
    </w:p>
    <w:p w:rsidR="00C62D0C" w:rsidRPr="00921D3F" w:rsidRDefault="00C62D0C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outlineLvl w:val="1"/>
        <w:rPr>
          <w:color w:val="auto"/>
          <w:sz w:val="28"/>
          <w:szCs w:val="32"/>
        </w:rPr>
      </w:pPr>
      <w:bookmarkStart w:id="3" w:name="_Toc261000291"/>
      <w:r w:rsidRPr="00921D3F">
        <w:rPr>
          <w:b/>
          <w:bCs/>
          <w:color w:val="auto"/>
          <w:sz w:val="28"/>
          <w:szCs w:val="32"/>
        </w:rPr>
        <w:t>Гендерные баннер</w:t>
      </w:r>
      <w:r w:rsidR="008C1E7B">
        <w:rPr>
          <w:b/>
          <w:bCs/>
          <w:color w:val="auto"/>
          <w:sz w:val="28"/>
          <w:szCs w:val="32"/>
        </w:rPr>
        <w:t>ы</w:t>
      </w:r>
      <w:r w:rsidRPr="00921D3F">
        <w:rPr>
          <w:b/>
          <w:bCs/>
          <w:color w:val="auto"/>
          <w:sz w:val="28"/>
          <w:szCs w:val="32"/>
        </w:rPr>
        <w:t xml:space="preserve"> в сети Интернет</w:t>
      </w:r>
      <w:bookmarkEnd w:id="3"/>
    </w:p>
    <w:p w:rsidR="008C1E7B" w:rsidRDefault="008C1E7B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В наше время Интернет приобретает все большее значение в жизни каждого отдельно взятого человека и общества в целом. Он беспрестанно продолжает проникать в новые сферы человеческой деятельности, расширяя багаж своих возможностей, сведений и методов, тем самым, становясь на один уровень с такими серьезными СМИ как радио и телевидение. Но, на сегодняшний день отсутствует собранная воедино информационная база по методам и видам рекламы в Интернет. Важность воздействия на человека сети Интернет сегодня признана во всем мире и исследования в этой области бурно прогрессируют, поэтому выбранную мною тему курсовой работы «Реклама в Интернет» считаю актуальной для нашего времени. Цель исследования в том, чтобы выявить (сравнить и анализировать) особенности восприятия рекламных баннеров в сети Интернет девушками и юношами в возрасте от 18 до 25. Объектом выступили девушки и юноши в возрасте от 18 до 25 лет. Предметом исследования явились гендерные особенности восприятия рекламных баннеров в сети Интернет.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Гипотеза научной работы в том, что молодые люди будут в вопросах отмечать когнитивный компонент, а девушки будут более эмоциональны. Использовались такие методики, как контент-анализ и анкетирование.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В результате проведённого исследования было выявлено, что большинство участников не смогли дать развёрнутого ответа на вопросы. Это показывает отсутствие умения выражать своё отношение к рекламе баннера в сети Интернет. Ответы не зависели от гендерных различий участников. Из этого следует, что наша гипотеза о том, что молодые люди будут в вопросах отмечать когнитивный компонент, а девушки будут более эмоциональны, не подтвердилась. На основе проделанной работы были разработаны следующие рекомендации: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1. В отношении русскоязычного сектора Интернет можно сказать следующее: призывы, побуждающие к действию, например «Жми», «Нажми», «Поехали», «Качать» и прочее, могут существенно повысить коэффициент баннера.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2. Отклик у анимированных баннеров гораздо выше, чем у статичных. Поэтому старайтесь использовать анимацию.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3. Баннеры, с кнопочками, «флажками-переключателями» и выпадающими списками имеют повышенный коэффициент по той причине, что вводят пользователей в заблуждение и заставляют их кликнуть по инерции, машинально.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4. Еще один интересный совет дает Infoseek. Эта компания провела исследование 2000 баннеров и 500 миллионов показов и не нашла улучшения коэффициента при использовании баннеров, призывающих участвовать в конкурсе.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6. Чтобы быть уверенным, что баннер показан, не стоит делать его больше 10–12 Кб. </w:t>
      </w:r>
    </w:p>
    <w:p w:rsidR="0041665A" w:rsidRPr="00921D3F" w:rsidRDefault="0041665A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 xml:space="preserve">7. Используйте меньше цветов! Проведенные ранее исследования показали, что коэффициент уменьшается при возрастании количества оттенков. Оптимальный эффект достигается при использовании 4 цветов. </w:t>
      </w:r>
    </w:p>
    <w:p w:rsidR="00C62D0C" w:rsidRDefault="00BD55C7" w:rsidP="00921D3F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  <w:bookmarkStart w:id="4" w:name="_Toc261000292"/>
      <w:r>
        <w:rPr>
          <w:b/>
          <w:bCs/>
          <w:color w:val="auto"/>
          <w:sz w:val="28"/>
          <w:szCs w:val="32"/>
        </w:rPr>
        <w:br w:type="page"/>
      </w:r>
      <w:r w:rsidR="00C62D0C" w:rsidRPr="00921D3F">
        <w:rPr>
          <w:b/>
          <w:bCs/>
          <w:color w:val="auto"/>
          <w:sz w:val="28"/>
          <w:szCs w:val="32"/>
        </w:rPr>
        <w:t>Заключение</w:t>
      </w:r>
      <w:bookmarkEnd w:id="4"/>
    </w:p>
    <w:p w:rsidR="00BD55C7" w:rsidRPr="00921D3F" w:rsidRDefault="00BD55C7" w:rsidP="00921D3F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</w:p>
    <w:p w:rsidR="00C62D0C" w:rsidRPr="00921D3F" w:rsidRDefault="00C62D0C" w:rsidP="00921D3F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921D3F">
        <w:rPr>
          <w:sz w:val="28"/>
          <w:szCs w:val="32"/>
        </w:rPr>
        <w:t xml:space="preserve">Таким образом, результаты наших предварительных исследований отчасти подтвердили гипотезу о том, что российское блоггерство имеет свои отличительные социально-психологические особенности развития и представляет собой национальный вариант социокультурного феномена. </w:t>
      </w:r>
    </w:p>
    <w:p w:rsidR="00C62D0C" w:rsidRPr="00921D3F" w:rsidRDefault="00C62D0C" w:rsidP="00921D3F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921D3F">
        <w:rPr>
          <w:color w:val="auto"/>
          <w:sz w:val="28"/>
          <w:szCs w:val="32"/>
        </w:rPr>
        <w:t>Кроме того, можно предположить, что использование электронного квазиобщения, несмотря на свою мобильность и возможность постоянного доступа, подразумевает под собой некоторую отчужденность самих субъектов по общению. Получается несколько парадоксальная ситуация – чем ближе мы становимся благодаря новейшим телекоммуникационным разработкам в общении, тем дальше нам приходится быть во внутриличностном аспекте. Всему этому, а также, в особенности, соотношение внутреннего и внешнего конструирования объективной реальности личности, преломляющейся по средствам восприятия виртуального мира планируется посвятить наше исследование в дальне</w:t>
      </w:r>
      <w:r w:rsidR="00BD55C7">
        <w:rPr>
          <w:color w:val="auto"/>
          <w:sz w:val="28"/>
          <w:szCs w:val="32"/>
        </w:rPr>
        <w:t>йшем.</w:t>
      </w:r>
    </w:p>
    <w:p w:rsidR="00C62D0C" w:rsidRDefault="00BD55C7" w:rsidP="00921D3F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  <w:bookmarkStart w:id="5" w:name="_Toc261000293"/>
      <w:r>
        <w:rPr>
          <w:b/>
          <w:bCs/>
          <w:color w:val="auto"/>
          <w:sz w:val="28"/>
          <w:szCs w:val="32"/>
        </w:rPr>
        <w:br w:type="page"/>
      </w:r>
      <w:r w:rsidR="00C62D0C" w:rsidRPr="00921D3F">
        <w:rPr>
          <w:b/>
          <w:bCs/>
          <w:color w:val="auto"/>
          <w:sz w:val="28"/>
          <w:szCs w:val="32"/>
        </w:rPr>
        <w:t>Список литературы</w:t>
      </w:r>
      <w:bookmarkEnd w:id="5"/>
    </w:p>
    <w:p w:rsidR="00BD55C7" w:rsidRPr="00921D3F" w:rsidRDefault="00BD55C7" w:rsidP="00921D3F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</w:p>
    <w:p w:rsidR="00C62D0C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1. </w:t>
      </w:r>
      <w:r w:rsidR="00C62D0C" w:rsidRPr="00921D3F">
        <w:rPr>
          <w:color w:val="auto"/>
          <w:sz w:val="28"/>
          <w:szCs w:val="32"/>
        </w:rPr>
        <w:t xml:space="preserve">Кондратьев И. Технология - виртуальная, результат - реальный // Computerworld, № 35, Москва, 2007. </w:t>
      </w:r>
    </w:p>
    <w:p w:rsidR="00C62D0C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 w:rsidRPr="00BD55C7">
        <w:rPr>
          <w:color w:val="auto"/>
          <w:sz w:val="28"/>
          <w:szCs w:val="32"/>
          <w:lang w:val="en-GB"/>
        </w:rPr>
        <w:t xml:space="preserve">2. </w:t>
      </w:r>
      <w:r w:rsidR="00C62D0C" w:rsidRPr="00921D3F">
        <w:rPr>
          <w:color w:val="auto"/>
          <w:sz w:val="28"/>
          <w:szCs w:val="32"/>
          <w:lang w:val="en-US"/>
        </w:rPr>
        <w:t xml:space="preserve">Kerby, A.P. Narrative and the self, Indiana University Press, Bloomington. </w:t>
      </w:r>
      <w:r w:rsidR="00C62D0C" w:rsidRPr="00921D3F">
        <w:rPr>
          <w:color w:val="auto"/>
          <w:sz w:val="28"/>
          <w:szCs w:val="32"/>
        </w:rPr>
        <w:t>2005.</w:t>
      </w:r>
    </w:p>
    <w:p w:rsidR="00C62D0C" w:rsidRPr="00921D3F" w:rsidRDefault="00BD55C7" w:rsidP="00BD55C7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</w:t>
      </w:r>
      <w:r w:rsidR="00C62D0C" w:rsidRPr="00921D3F">
        <w:rPr>
          <w:sz w:val="28"/>
          <w:szCs w:val="32"/>
        </w:rPr>
        <w:t xml:space="preserve">Зенько К.А. Интернет в контексте проблем бытия и сознания (философско-психологические аспекты)// Интернет и современное общество: Труды IX Всероссийской объединенной конференции «Гуманитарная информатика». Санкт-Петербург, 14-16 ноября 2006. СПб.: СПбГУ, С. 63-64. </w:t>
      </w:r>
    </w:p>
    <w:p w:rsidR="00C62D0C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4. </w:t>
      </w:r>
      <w:r w:rsidR="0041665A" w:rsidRPr="00921D3F">
        <w:rPr>
          <w:color w:val="auto"/>
          <w:sz w:val="28"/>
          <w:szCs w:val="32"/>
        </w:rPr>
        <w:t>Большой психологический словарь. Под общ. ред. Б.Г. Мещеряк</w:t>
      </w:r>
      <w:r w:rsidR="00C62D0C" w:rsidRPr="00921D3F">
        <w:rPr>
          <w:color w:val="auto"/>
          <w:sz w:val="28"/>
          <w:szCs w:val="32"/>
        </w:rPr>
        <w:t>ова, В.П. Зинченко. Москва, 2009</w:t>
      </w:r>
      <w:r w:rsidR="0041665A" w:rsidRPr="00921D3F">
        <w:rPr>
          <w:color w:val="auto"/>
          <w:sz w:val="28"/>
          <w:szCs w:val="32"/>
        </w:rPr>
        <w:t xml:space="preserve">. </w:t>
      </w:r>
    </w:p>
    <w:p w:rsidR="0041665A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5. </w:t>
      </w:r>
      <w:r w:rsidR="0041665A" w:rsidRPr="00921D3F">
        <w:rPr>
          <w:color w:val="auto"/>
          <w:sz w:val="28"/>
          <w:szCs w:val="32"/>
        </w:rPr>
        <w:t>Методологические и методические проблемы контент-анализа. Вып. 1-</w:t>
      </w:r>
      <w:smartTag w:uri="urn:schemas-microsoft-com:office:smarttags" w:element="metricconverter">
        <w:smartTagPr>
          <w:attr w:name="ProductID" w:val="2. М"/>
        </w:smartTagPr>
        <w:r w:rsidR="0041665A" w:rsidRPr="00921D3F">
          <w:rPr>
            <w:color w:val="auto"/>
            <w:sz w:val="28"/>
            <w:szCs w:val="32"/>
          </w:rPr>
          <w:t>2. М</w:t>
        </w:r>
      </w:smartTag>
      <w:r w:rsidR="00C62D0C" w:rsidRPr="00921D3F">
        <w:rPr>
          <w:color w:val="auto"/>
          <w:sz w:val="28"/>
          <w:szCs w:val="32"/>
        </w:rPr>
        <w:t>., 2003.</w:t>
      </w:r>
    </w:p>
    <w:p w:rsidR="0041665A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6. </w:t>
      </w:r>
      <w:r w:rsidR="0041665A" w:rsidRPr="00921D3F">
        <w:rPr>
          <w:color w:val="auto"/>
          <w:sz w:val="28"/>
          <w:szCs w:val="32"/>
        </w:rPr>
        <w:t>Методы анализа документов в социол</w:t>
      </w:r>
      <w:r w:rsidR="00C62D0C" w:rsidRPr="00921D3F">
        <w:rPr>
          <w:color w:val="auto"/>
          <w:sz w:val="28"/>
          <w:szCs w:val="32"/>
        </w:rPr>
        <w:t>огических исследованиях. М., 2005.</w:t>
      </w:r>
    </w:p>
    <w:p w:rsidR="0041665A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7. </w:t>
      </w:r>
      <w:r w:rsidR="0041665A" w:rsidRPr="00921D3F">
        <w:rPr>
          <w:color w:val="auto"/>
          <w:sz w:val="28"/>
          <w:szCs w:val="32"/>
        </w:rPr>
        <w:t>Социологическая энциклопедия. Под общ. ред. А.Н. Данилова. Минск, 200</w:t>
      </w:r>
      <w:r w:rsidR="00C62D0C" w:rsidRPr="00921D3F">
        <w:rPr>
          <w:color w:val="auto"/>
          <w:sz w:val="28"/>
          <w:szCs w:val="32"/>
        </w:rPr>
        <w:t>8.</w:t>
      </w:r>
    </w:p>
    <w:p w:rsidR="0041665A" w:rsidRPr="00921D3F" w:rsidRDefault="00BD55C7" w:rsidP="00BD55C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8. </w:t>
      </w:r>
      <w:r w:rsidR="0041665A" w:rsidRPr="00921D3F">
        <w:rPr>
          <w:color w:val="auto"/>
          <w:sz w:val="28"/>
          <w:szCs w:val="32"/>
        </w:rPr>
        <w:t xml:space="preserve">Дридзе Т.М. Текстовая деятельность в структуре </w:t>
      </w:r>
      <w:r w:rsidR="00C62D0C" w:rsidRPr="00921D3F">
        <w:rPr>
          <w:color w:val="auto"/>
          <w:sz w:val="28"/>
          <w:szCs w:val="32"/>
        </w:rPr>
        <w:t>социальной коммуникации. М., 2004.</w:t>
      </w:r>
    </w:p>
    <w:p w:rsidR="00921D3F" w:rsidRPr="00BD55C7" w:rsidRDefault="00BD55C7" w:rsidP="00BD55C7">
      <w:pPr>
        <w:pStyle w:val="Default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D55C7">
        <w:rPr>
          <w:sz w:val="28"/>
          <w:szCs w:val="28"/>
        </w:rPr>
        <w:t xml:space="preserve">9. </w:t>
      </w:r>
      <w:r w:rsidR="0041665A" w:rsidRPr="00BD55C7">
        <w:rPr>
          <w:sz w:val="28"/>
          <w:szCs w:val="28"/>
        </w:rPr>
        <w:t>С.И. Григорьев. Основы современной социологии. Изд. Алтайского гос. ун-та. 200</w:t>
      </w:r>
      <w:r w:rsidR="00C62D0C" w:rsidRPr="00BD55C7">
        <w:rPr>
          <w:sz w:val="28"/>
          <w:szCs w:val="28"/>
        </w:rPr>
        <w:t>9.</w:t>
      </w:r>
      <w:bookmarkStart w:id="6" w:name="_GoBack"/>
      <w:bookmarkEnd w:id="6"/>
    </w:p>
    <w:sectPr w:rsidR="00921D3F" w:rsidRPr="00BD55C7" w:rsidSect="00921D3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4E" w:rsidRDefault="00BF0C4E">
      <w:r>
        <w:separator/>
      </w:r>
    </w:p>
  </w:endnote>
  <w:endnote w:type="continuationSeparator" w:id="0">
    <w:p w:rsidR="00BF0C4E" w:rsidRDefault="00BF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ED" w:rsidRDefault="000878ED" w:rsidP="00163409">
    <w:pPr>
      <w:pStyle w:val="a7"/>
      <w:framePr w:wrap="around" w:vAnchor="text" w:hAnchor="margin" w:xAlign="right" w:y="1"/>
      <w:rPr>
        <w:rStyle w:val="a5"/>
      </w:rPr>
    </w:pPr>
  </w:p>
  <w:p w:rsidR="000878ED" w:rsidRDefault="000878ED" w:rsidP="00921D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ED" w:rsidRDefault="000878ED" w:rsidP="00921D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4E" w:rsidRDefault="00BF0C4E">
      <w:r>
        <w:separator/>
      </w:r>
    </w:p>
  </w:footnote>
  <w:footnote w:type="continuationSeparator" w:id="0">
    <w:p w:rsidR="00BF0C4E" w:rsidRDefault="00BF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ED" w:rsidRDefault="000878ED" w:rsidP="00B258F1">
    <w:pPr>
      <w:pStyle w:val="a3"/>
      <w:framePr w:wrap="around" w:vAnchor="text" w:hAnchor="margin" w:xAlign="right" w:y="1"/>
      <w:rPr>
        <w:rStyle w:val="a5"/>
      </w:rPr>
    </w:pPr>
  </w:p>
  <w:p w:rsidR="000878ED" w:rsidRDefault="000878ED" w:rsidP="00C62D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8ED" w:rsidRDefault="00102BB0" w:rsidP="00B258F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878ED" w:rsidRDefault="000878ED" w:rsidP="00C62D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ADF"/>
    <w:multiLevelType w:val="hybridMultilevel"/>
    <w:tmpl w:val="22BCF5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60300C5"/>
    <w:multiLevelType w:val="hybridMultilevel"/>
    <w:tmpl w:val="87765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F624CC0"/>
    <w:multiLevelType w:val="hybridMultilevel"/>
    <w:tmpl w:val="CE64C1C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65A"/>
    <w:rsid w:val="000878ED"/>
    <w:rsid w:val="000D53D7"/>
    <w:rsid w:val="00102BB0"/>
    <w:rsid w:val="00163409"/>
    <w:rsid w:val="00224BC1"/>
    <w:rsid w:val="0041665A"/>
    <w:rsid w:val="00637269"/>
    <w:rsid w:val="0085446C"/>
    <w:rsid w:val="008C1E7B"/>
    <w:rsid w:val="00921D3F"/>
    <w:rsid w:val="00B258F1"/>
    <w:rsid w:val="00BD55C7"/>
    <w:rsid w:val="00BF0C4E"/>
    <w:rsid w:val="00C62D0C"/>
    <w:rsid w:val="00D157A6"/>
    <w:rsid w:val="00E81AE1"/>
    <w:rsid w:val="00EC1797"/>
    <w:rsid w:val="00F3027B"/>
    <w:rsid w:val="00F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8C29E1-339A-46E2-A1CC-B94162C5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166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monosov-lit-text">
    <w:name w:val="lomonosov-lit-text"/>
    <w:basedOn w:val="Default"/>
    <w:next w:val="Default"/>
    <w:uiPriority w:val="99"/>
    <w:rsid w:val="0041665A"/>
    <w:rPr>
      <w:color w:val="auto"/>
    </w:rPr>
  </w:style>
  <w:style w:type="paragraph" w:styleId="a3">
    <w:name w:val="header"/>
    <w:basedOn w:val="a"/>
    <w:link w:val="a4"/>
    <w:uiPriority w:val="99"/>
    <w:rsid w:val="00C62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62D0C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EC1797"/>
  </w:style>
  <w:style w:type="paragraph" w:styleId="2">
    <w:name w:val="toc 2"/>
    <w:basedOn w:val="a"/>
    <w:next w:val="a"/>
    <w:autoRedefine/>
    <w:uiPriority w:val="99"/>
    <w:semiHidden/>
    <w:rsid w:val="00EC1797"/>
    <w:pPr>
      <w:ind w:left="240"/>
    </w:pPr>
  </w:style>
  <w:style w:type="character" w:styleId="a6">
    <w:name w:val="Hyperlink"/>
    <w:uiPriority w:val="99"/>
    <w:rsid w:val="00EC179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921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Виртуальные технологии общения и современная личность </vt:lpstr>
    </vt:vector>
  </TitlesOfParts>
  <Company>ussr</Company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Виртуальные технологии общения и современная личность </dc:title>
  <dc:subject/>
  <dc:creator>user</dc:creator>
  <cp:keywords/>
  <dc:description/>
  <cp:lastModifiedBy>admin</cp:lastModifiedBy>
  <cp:revision>2</cp:revision>
  <dcterms:created xsi:type="dcterms:W3CDTF">2014-02-21T16:36:00Z</dcterms:created>
  <dcterms:modified xsi:type="dcterms:W3CDTF">2014-02-21T16:36:00Z</dcterms:modified>
</cp:coreProperties>
</file>