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57" w:rsidRDefault="002450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правах рукописи</w:t>
      </w:r>
    </w:p>
    <w:p w:rsidR="003E1D57" w:rsidRDefault="003E1D5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D57" w:rsidRDefault="002450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Сайфуллин Анвар Каримович</w:t>
      </w:r>
    </w:p>
    <w:p w:rsidR="003E1D57" w:rsidRDefault="003E1D5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D57" w:rsidRDefault="003E1D5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D57" w:rsidRDefault="002450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КЛИНИКО-ИММУНОЛОГИЧЕСКИЕ ДАННЫЕ И ВОЗМОЖНОСТИ ПРИМЕНЕНИЯ ВИФЕРОНА И Т-АКТИВИНА У БОЛЬНЫХ ХРОНИЧЕСКИМИ ВИРУСНЫМИ ГЕПАТИТАМИ В и Д.</w:t>
      </w:r>
    </w:p>
    <w:p w:rsidR="003E1D57" w:rsidRDefault="003E1D5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D57" w:rsidRDefault="003E1D5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D57" w:rsidRDefault="002450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14.00.10. — Инфекционные болезни</w:t>
      </w:r>
    </w:p>
    <w:p w:rsidR="003E1D57" w:rsidRDefault="002450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Автореферат диссертации на соискание ученой степени кандидата медицинских наук</w:t>
      </w:r>
    </w:p>
    <w:p w:rsidR="003E1D57" w:rsidRDefault="002450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Санкт-Петербург, 1996</w:t>
      </w:r>
    </w:p>
    <w:p w:rsidR="003E1D57" w:rsidRDefault="002450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выполнена в Военно-медицинской академии и в институте биорегуляции и геронтологии.</w:t>
      </w:r>
    </w:p>
    <w:p w:rsidR="003E1D57" w:rsidRDefault="002450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руководитель:</w:t>
      </w:r>
    </w:p>
    <w:p w:rsidR="003E1D57" w:rsidRDefault="002450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Академик МАНЭБ, доктор медицинских наук, профессор Ю.В. Лобзин. Научный консультант:</w:t>
      </w:r>
    </w:p>
    <w:p w:rsidR="003E1D57" w:rsidRDefault="002450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Академик РАЕН, доктор медицинских наук, профессор В.Х. Хавинсон.</w:t>
      </w:r>
    </w:p>
    <w:p w:rsidR="003E1D57" w:rsidRDefault="002450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Официальные оппоненты:</w:t>
      </w:r>
    </w:p>
    <w:p w:rsidR="003E1D57" w:rsidRDefault="002450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Академик МАНЭБ. доктор медицинских наук, профессор А.Г. Рахманова,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доктор медицинских наук, профессор А.Ф Подлевский.</w:t>
      </w:r>
    </w:p>
    <w:p w:rsidR="003E1D57" w:rsidRDefault="002450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Ведущее учереждение—Санкт-Петербургский Медицинский Университет им.академика И.П.Павлова.</w:t>
      </w:r>
    </w:p>
    <w:p w:rsidR="003E1D57" w:rsidRDefault="002450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Защита диссертации состоится "..."........ 1996 г.</w:t>
      </w:r>
    </w:p>
    <w:p w:rsidR="003E1D57" w:rsidRDefault="002450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... часов на заседании специализированного ученого совета . при Военно-медицинской Академии (194044, Санкт-Петербург,ул.Лебедева, 6)</w:t>
      </w:r>
    </w:p>
    <w:p w:rsidR="003E1D57" w:rsidRDefault="002450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диссертацией можно ознакомиться в Фундаментальной библиотеке Военно-медицинской академии.</w:t>
      </w:r>
    </w:p>
    <w:p w:rsidR="003E1D57" w:rsidRDefault="00245050">
      <w:pPr>
        <w:pStyle w:val="FR1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Ученый секретарь специализированного ученого совета, доктор медицинских наук, профессор Ю.И.Ляшенко</w:t>
      </w:r>
    </w:p>
    <w:p w:rsidR="003E1D57" w:rsidRDefault="002450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работы.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ИССЛЕДОВАНИЯ. За 30 лет, минувших со времени идентификации Б. Бламбергом "австралийского антигена" (1965), достигнут значительный прогресс в изучении этиологии, патогенеза, клиники и эпидемио</w:t>
      </w:r>
      <w:r>
        <w:rPr>
          <w:rFonts w:ascii="Times New Roman" w:hAnsi="Times New Roman" w:cs="Times New Roman"/>
          <w:sz w:val="24"/>
          <w:szCs w:val="24"/>
        </w:rPr>
        <w:softHyphen/>
        <w:t>логии вирусных гепатитов. Многие ученые в нашей стране (Ананьев В.А., Фаворов М.0, 1990: Блюгер А.Ф., 1988; Михайлов М.И, 1986-1996; Подлевский А.Ф и соавт., 1996: Рахманова А.Г, 1991-1996: Шувалова Е.П, 1991-1996) и за рубе</w:t>
      </w:r>
      <w:r>
        <w:rPr>
          <w:rFonts w:ascii="Times New Roman" w:hAnsi="Times New Roman" w:cs="Times New Roman"/>
          <w:sz w:val="24"/>
          <w:szCs w:val="24"/>
        </w:rPr>
        <w:softHyphen/>
        <w:t>жом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(Choo Q.L., Weiner A.J., Overby L.R.,1990; Rizzetto M., Purcell R.H.,</w:t>
      </w:r>
      <w:r>
        <w:rPr>
          <w:rFonts w:ascii="Times New Roman" w:hAnsi="Times New Roman" w:cs="Times New Roman"/>
          <w:sz w:val="24"/>
          <w:szCs w:val="24"/>
        </w:rPr>
        <w:t xml:space="preserve"> 1992: </w:t>
      </w:r>
      <w:r>
        <w:rPr>
          <w:rFonts w:ascii="Times New Roman" w:hAnsi="Times New Roman" w:cs="Times New Roman"/>
          <w:sz w:val="24"/>
          <w:szCs w:val="24"/>
          <w:lang w:val="en-US"/>
        </w:rPr>
        <w:t>Rogendorf M.,</w:t>
      </w:r>
      <w:r>
        <w:rPr>
          <w:rFonts w:ascii="Times New Roman" w:hAnsi="Times New Roman" w:cs="Times New Roman"/>
          <w:sz w:val="24"/>
          <w:szCs w:val="24"/>
        </w:rPr>
        <w:t xml:space="preserve"> 1990) посвятили свои усилия исследованию различных аспектов этой проблемы.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Особую актуальность приобретает проблема хронических вирусных ге</w:t>
      </w:r>
      <w:r>
        <w:rPr>
          <w:rFonts w:ascii="Times New Roman" w:hAnsi="Times New Roman" w:cs="Times New Roman"/>
          <w:sz w:val="24"/>
          <w:szCs w:val="24"/>
        </w:rPr>
        <w:softHyphen/>
        <w:t>патитов В и Д, отличающихся трудностью ранней диагностики, неразработан</w:t>
      </w:r>
      <w:r>
        <w:rPr>
          <w:rFonts w:ascii="Times New Roman" w:hAnsi="Times New Roman" w:cs="Times New Roman"/>
          <w:sz w:val="24"/>
          <w:szCs w:val="24"/>
        </w:rPr>
        <w:softHyphen/>
        <w:t>ностью вопросов терапии, и нередко заканчивающихся летальными исходами (Соринсон С.Н., 1995: Шувалова Е.П., Осипова ГИ . 1996;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Lefkowitoh J.H., </w:t>
      </w:r>
      <w:r>
        <w:rPr>
          <w:rFonts w:ascii="Times New Roman" w:hAnsi="Times New Roman" w:cs="Times New Roman"/>
          <w:sz w:val="24"/>
          <w:szCs w:val="24"/>
        </w:rPr>
        <w:t>1987;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Maynard J.E.,</w:t>
      </w:r>
      <w:r>
        <w:rPr>
          <w:rFonts w:ascii="Times New Roman" w:hAnsi="Times New Roman" w:cs="Times New Roman"/>
          <w:sz w:val="24"/>
          <w:szCs w:val="24"/>
        </w:rPr>
        <w:t xml:space="preserve"> 1987). Весьма настораживает значительное возрастание числа случаев ХГВ и, особенно прогностически неблагоприятного, хроническо</w:t>
      </w:r>
      <w:r>
        <w:rPr>
          <w:rFonts w:ascii="Times New Roman" w:hAnsi="Times New Roman" w:cs="Times New Roman"/>
          <w:sz w:val="24"/>
          <w:szCs w:val="24"/>
        </w:rPr>
        <w:softHyphen/>
        <w:t>го вирусного гепатита Д, характеризующегося тяжестью и многосистемностью. поражения организма пациента, прогредиентностью течения вплоть до разви</w:t>
      </w:r>
      <w:r>
        <w:rPr>
          <w:rFonts w:ascii="Times New Roman" w:hAnsi="Times New Roman" w:cs="Times New Roman"/>
          <w:sz w:val="24"/>
          <w:szCs w:val="24"/>
        </w:rPr>
        <w:softHyphen/>
        <w:t>тия цирроза печени и наносящего большой социально-экономический ущерб в результате ранней инвалидности больных (Апросина З.Г, Серов В.В., 1996; Ло</w:t>
      </w:r>
      <w:r>
        <w:rPr>
          <w:rFonts w:ascii="Times New Roman" w:hAnsi="Times New Roman" w:cs="Times New Roman"/>
          <w:sz w:val="24"/>
          <w:szCs w:val="24"/>
        </w:rPr>
        <w:softHyphen/>
        <w:t>гинов А.С.. Аруин Л.И., 1990;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Popper H., Hoofnagle J.H.,</w:t>
      </w:r>
      <w:r>
        <w:rPr>
          <w:rFonts w:ascii="Times New Roman" w:hAnsi="Times New Roman" w:cs="Times New Roman"/>
          <w:sz w:val="24"/>
          <w:szCs w:val="24"/>
        </w:rPr>
        <w:t xml:space="preserve"> 1987;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Sherlock S.,</w:t>
      </w:r>
      <w:r>
        <w:rPr>
          <w:rFonts w:ascii="Times New Roman" w:hAnsi="Times New Roman" w:cs="Times New Roman"/>
          <w:sz w:val="24"/>
          <w:szCs w:val="24"/>
        </w:rPr>
        <w:t xml:space="preserve"> 1990).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проведенных исследований стало очевидным, что под мас</w:t>
      </w:r>
      <w:r>
        <w:rPr>
          <w:rFonts w:ascii="Times New Roman" w:hAnsi="Times New Roman" w:cs="Times New Roman"/>
          <w:sz w:val="24"/>
          <w:szCs w:val="24"/>
        </w:rPr>
        <w:softHyphen/>
        <w:t>кой "хронического вирусного гепатита" скрываются этиологически неоднород</w:t>
      </w:r>
      <w:r>
        <w:rPr>
          <w:rFonts w:ascii="Times New Roman" w:hAnsi="Times New Roman" w:cs="Times New Roman"/>
          <w:sz w:val="24"/>
          <w:szCs w:val="24"/>
        </w:rPr>
        <w:softHyphen/>
        <w:t>ные поражения печени, манифестация которых обусловлена инфекцией, вы</w:t>
      </w:r>
      <w:r>
        <w:rPr>
          <w:rFonts w:ascii="Times New Roman" w:hAnsi="Times New Roman" w:cs="Times New Roman"/>
          <w:sz w:val="24"/>
          <w:szCs w:val="24"/>
        </w:rPr>
        <w:softHyphen/>
        <w:t>званной вирусами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HBV</w:t>
      </w:r>
      <w:r>
        <w:rPr>
          <w:rFonts w:ascii="Times New Roman" w:hAnsi="Times New Roman" w:cs="Times New Roman"/>
          <w:sz w:val="24"/>
          <w:szCs w:val="24"/>
        </w:rPr>
        <w:t xml:space="preserve"> и/или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HDV,</w:t>
      </w:r>
      <w:r>
        <w:rPr>
          <w:rFonts w:ascii="Times New Roman" w:hAnsi="Times New Roman" w:cs="Times New Roman"/>
          <w:sz w:val="24"/>
          <w:szCs w:val="24"/>
        </w:rPr>
        <w:t xml:space="preserve"> или суперинфекцией вирусами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HAV, HDV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HCV</w:t>
      </w:r>
      <w:r>
        <w:rPr>
          <w:rFonts w:ascii="Times New Roman" w:hAnsi="Times New Roman" w:cs="Times New Roman"/>
          <w:sz w:val="24"/>
          <w:szCs w:val="24"/>
        </w:rPr>
        <w:t xml:space="preserve"> при хроническом гепатите В (Кошиль О.И., Лобзин Ю.В., Мукомолов СЛ., 1996; Чешик С.Г. и др., 1996; Шувалова Е.П., Рахманова А.Г. и др., 1995; </w:t>
      </w:r>
      <w:r>
        <w:rPr>
          <w:rFonts w:ascii="Times New Roman" w:hAnsi="Times New Roman" w:cs="Times New Roman"/>
          <w:sz w:val="24"/>
          <w:szCs w:val="24"/>
          <w:lang w:val="en-US"/>
        </w:rPr>
        <w:t>Bradley D.W.</w:t>
      </w:r>
      <w:r>
        <w:rPr>
          <w:rFonts w:ascii="Times New Roman" w:hAnsi="Times New Roman" w:cs="Times New Roman"/>
          <w:sz w:val="24"/>
          <w:szCs w:val="24"/>
        </w:rPr>
        <w:t xml:space="preserve"> 1990).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в изучении патогенеза вирусных гепатитов показали опре</w:t>
      </w:r>
      <w:r>
        <w:rPr>
          <w:rFonts w:ascii="Times New Roman" w:hAnsi="Times New Roman" w:cs="Times New Roman"/>
          <w:sz w:val="24"/>
          <w:szCs w:val="24"/>
        </w:rPr>
        <w:softHyphen/>
        <w:t>деляющее значение в течении и исходах ВГВ и ВГД состояния иммунного от</w:t>
      </w:r>
      <w:r>
        <w:rPr>
          <w:rFonts w:ascii="Times New Roman" w:hAnsi="Times New Roman" w:cs="Times New Roman"/>
          <w:sz w:val="24"/>
          <w:szCs w:val="24"/>
        </w:rPr>
        <w:softHyphen/>
        <w:t>вета. Изучение иммунологических нарушений особенно важно для оценки те</w:t>
      </w:r>
      <w:r>
        <w:rPr>
          <w:rFonts w:ascii="Times New Roman" w:hAnsi="Times New Roman" w:cs="Times New Roman"/>
          <w:sz w:val="24"/>
          <w:szCs w:val="24"/>
        </w:rPr>
        <w:softHyphen/>
        <w:t>рапии хронических вирусных гепатитов В и Д. Достижение стойкой ремиссии у  больных ХГВ и ХГД не возможно без существенного улучшения показателей иммунной системы организма (Нисевич Н.И. и др.,1995;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Alexander G.J.M.,</w:t>
      </w:r>
      <w:r>
        <w:rPr>
          <w:rFonts w:ascii="Times New Roman" w:hAnsi="Times New Roman" w:cs="Times New Roman"/>
          <w:sz w:val="24"/>
          <w:szCs w:val="24"/>
        </w:rPr>
        <w:t xml:space="preserve"> 1990; </w:t>
      </w:r>
      <w:r>
        <w:rPr>
          <w:rFonts w:ascii="Times New Roman" w:hAnsi="Times New Roman" w:cs="Times New Roman"/>
          <w:sz w:val="24"/>
          <w:szCs w:val="24"/>
          <w:lang w:val="en-US"/>
        </w:rPr>
        <w:t>Vyas G.N., Dienstag J.L.,</w:t>
      </w:r>
      <w:r>
        <w:rPr>
          <w:rFonts w:ascii="Times New Roman" w:hAnsi="Times New Roman" w:cs="Times New Roman"/>
          <w:sz w:val="24"/>
          <w:szCs w:val="24"/>
        </w:rPr>
        <w:t xml:space="preserve"> 1990). К настоящему времени показано, что лечение ,, хронических форм гепатита В и Д альфа-интерфероном приводит к уменьше</w:t>
      </w:r>
      <w:r>
        <w:rPr>
          <w:rFonts w:ascii="Times New Roman" w:hAnsi="Times New Roman" w:cs="Times New Roman"/>
          <w:sz w:val="24"/>
          <w:szCs w:val="24"/>
        </w:rPr>
        <w:softHyphen/>
        <w:t>нию активности процесса примерно у половины больных (Блохина Н.П., и др., 1995: Змызгова А.В., 1996; Яковенко Э.П., 1996). При этом имеется зависи</w:t>
      </w:r>
      <w:r>
        <w:rPr>
          <w:rFonts w:ascii="Times New Roman" w:hAnsi="Times New Roman" w:cs="Times New Roman"/>
          <w:sz w:val="24"/>
          <w:szCs w:val="24"/>
        </w:rPr>
        <w:softHyphen/>
        <w:t>мость эффективности лечения от дозы препарата и длительности проводимо</w:t>
      </w:r>
      <w:r>
        <w:rPr>
          <w:rFonts w:ascii="Times New Roman" w:hAnsi="Times New Roman" w:cs="Times New Roman"/>
          <w:sz w:val="24"/>
          <w:szCs w:val="24"/>
        </w:rPr>
        <w:softHyphen/>
        <w:t>го курса терапии. Однако до настоящего времени не установлены наиболее эффективные дозировки, оптимальные по продолжительности курсы лечения интерфероном (Кокарева Л.Н., 1995; Лучшев В.И.,, 1996;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Hoofnagle J.H.,</w:t>
      </w:r>
      <w:r>
        <w:rPr>
          <w:rFonts w:ascii="Times New Roman" w:hAnsi="Times New Roman" w:cs="Times New Roman"/>
          <w:sz w:val="24"/>
          <w:szCs w:val="24"/>
        </w:rPr>
        <w:t xml:space="preserve"> 1989). Лишь в единичных работах представлен комплексный анализ системы интерфероногенеза при ХГВ и ХГД (Змызгова А.В., Максимов С.Л., Фомина Т.Н.,1996). Представляет практическую значимость патогенетическое обосно</w:t>
      </w:r>
      <w:r>
        <w:rPr>
          <w:rFonts w:ascii="Times New Roman" w:hAnsi="Times New Roman" w:cs="Times New Roman"/>
          <w:sz w:val="24"/>
          <w:szCs w:val="24"/>
        </w:rPr>
        <w:softHyphen/>
        <w:t>вание целесообразности назначения и оценка эффективности комбинирован</w:t>
      </w:r>
      <w:r>
        <w:rPr>
          <w:rFonts w:ascii="Times New Roman" w:hAnsi="Times New Roman" w:cs="Times New Roman"/>
          <w:sz w:val="24"/>
          <w:szCs w:val="24"/>
        </w:rPr>
        <w:softHyphen/>
        <w:t>ной противовирусной и иммунокоррегирующей терапии больных хроническими вирусными гепатитами В и Д,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Анализу этих нерешенных вопросов, имеющих важное теоретическое и практическое значение, посвящена настоящая работа</w:t>
      </w:r>
    </w:p>
    <w:p w:rsidR="003E1D57" w:rsidRDefault="0024505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ИССЛЕДОВАНИЯ..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РАБОТЫ: изучить клинико-иммунологические данные и возможно</w:t>
      </w:r>
      <w:r>
        <w:rPr>
          <w:rFonts w:ascii="Times New Roman" w:hAnsi="Times New Roman" w:cs="Times New Roman"/>
          <w:sz w:val="24"/>
          <w:szCs w:val="24"/>
        </w:rPr>
        <w:softHyphen/>
        <w:t>сти применения виферона и Т-активина у больных хроническими вирусными гепатитами В и Д.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были поставлены следующие задачи исследова</w:t>
      </w:r>
      <w:r>
        <w:rPr>
          <w:rFonts w:ascii="Times New Roman" w:hAnsi="Times New Roman" w:cs="Times New Roman"/>
          <w:sz w:val="24"/>
          <w:szCs w:val="24"/>
        </w:rPr>
        <w:softHyphen/>
        <w:t>ния: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Исследовать клинико-лабораторные показатели, характер течения и исходы хронического гепатита В.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Исследовать клинико-лабораторные показатели, характер течения и исходы хронического гепатита Д.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Оценить функциональное состояние клеточного, гуморального имму</w:t>
      </w:r>
      <w:r>
        <w:rPr>
          <w:rFonts w:ascii="Times New Roman" w:hAnsi="Times New Roman" w:cs="Times New Roman"/>
          <w:sz w:val="24"/>
          <w:szCs w:val="24"/>
        </w:rPr>
        <w:softHyphen/>
        <w:t>нитета, факторов неспецифической резистентности у больных хроническими вирусными гепатитами В и Д.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Оценить терапевтическую эффективность виферона и Т-активина при хронических вирусных гепатитах В и Д: провести их сравнительный анализ.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ПОЛОЖЕНИЯ, ВЫНОСИМЫЕ НА ЗАЩИТУ: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Скрининг больных гастроэнтерологического профиля на предмет хро</w:t>
      </w:r>
      <w:r>
        <w:rPr>
          <w:rFonts w:ascii="Times New Roman" w:hAnsi="Times New Roman" w:cs="Times New Roman"/>
          <w:sz w:val="24"/>
          <w:szCs w:val="24"/>
        </w:rPr>
        <w:softHyphen/>
        <w:t>нического вирусного поражения печени позволяет выявить значительное коли</w:t>
      </w:r>
      <w:r>
        <w:rPr>
          <w:rFonts w:ascii="Times New Roman" w:hAnsi="Times New Roman" w:cs="Times New Roman"/>
          <w:sz w:val="24"/>
          <w:szCs w:val="24"/>
        </w:rPr>
        <w:softHyphen/>
        <w:t>чество больных с хроническими вирусными гепатитами В и Д.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хроническом гепатите не зависимо от этиологии (ХГВ или ХГД), нарушения в иммунном статусе характеризуются однонаправленностью, глуби</w:t>
      </w:r>
      <w:r>
        <w:rPr>
          <w:rFonts w:ascii="Times New Roman" w:hAnsi="Times New Roman" w:cs="Times New Roman"/>
          <w:sz w:val="24"/>
          <w:szCs w:val="24"/>
        </w:rPr>
        <w:softHyphen/>
        <w:t>ной и стойкостью поражений. Эти изменения наиболее выражены в периоде обострения и зависят от глубины поражения печени и длительности заболева</w:t>
      </w:r>
      <w:r>
        <w:rPr>
          <w:rFonts w:ascii="Times New Roman" w:hAnsi="Times New Roman" w:cs="Times New Roman"/>
          <w:sz w:val="24"/>
          <w:szCs w:val="24"/>
        </w:rPr>
        <w:softHyphen/>
        <w:t>ния. По мере нарастания глубины поражения печени от ХПГ к ХАГ и к циррозу печени нарастает вторичный Т-клеточный иммунодефицит по гипосупрессорному типу с функционально-морфологической недостаточностью макрофагов в пораженной НВ- и НД- вирусом печени.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 больных ХАГВ и ХАГД наиболее эффективным является применение виферона с Т-активином и, в меньшей степени, изолированного применение одного из этих препаратов. Комплексное использование виферона и Т-активина позволяет добиваться длительных ремиссий за счет сочетанного противовирусного действия первого и иммуномодулирующего действия второго препаратов.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НОВИЗНА. Проведено комплексное изучение функционально</w:t>
      </w:r>
      <w:r>
        <w:rPr>
          <w:rFonts w:ascii="Times New Roman" w:hAnsi="Times New Roman" w:cs="Times New Roman"/>
          <w:sz w:val="24"/>
          <w:szCs w:val="24"/>
        </w:rPr>
        <w:softHyphen/>
        <w:t>го состояния клеточного, гуморального иммунитета, факторов неспецифиче</w:t>
      </w:r>
      <w:r>
        <w:rPr>
          <w:rFonts w:ascii="Times New Roman" w:hAnsi="Times New Roman" w:cs="Times New Roman"/>
          <w:sz w:val="24"/>
          <w:szCs w:val="24"/>
        </w:rPr>
        <w:softHyphen/>
        <w:t>ской резистентности у больных хроническими вирусными гепатитами В и Д. Хронический активный гепатит В проявляется признаками недостаточности Т-клеточного иммунитета и подавлением факторов неспецифической резистент</w:t>
      </w:r>
      <w:r>
        <w:rPr>
          <w:rFonts w:ascii="Times New Roman" w:hAnsi="Times New Roman" w:cs="Times New Roman"/>
          <w:sz w:val="24"/>
          <w:szCs w:val="24"/>
        </w:rPr>
        <w:softHyphen/>
        <w:t>ности: уменьшением содержания Т-хелперов до 26,9 %±1,7; Т-супрессоров до 13,7%±1,17: снижением иммунорегуляторного коэффициента до 1,93 ± 0,23. Хронический активный гепатит Д проявляется уменьшением содержания Т-хелперов до 25,8 %±1,6; Т-супрессоров до 13,3 %±1,12: снижением имму</w:t>
      </w:r>
      <w:r>
        <w:rPr>
          <w:rFonts w:ascii="Times New Roman" w:hAnsi="Times New Roman" w:cs="Times New Roman"/>
          <w:sz w:val="24"/>
          <w:szCs w:val="24"/>
        </w:rPr>
        <w:softHyphen/>
        <w:t>норегуляторного коэффициента до 1,89±0,15. Причем если при хроническом персистирующем гепатите нарушения иммунологического статуса незначи</w:t>
      </w:r>
      <w:r>
        <w:rPr>
          <w:rFonts w:ascii="Times New Roman" w:hAnsi="Times New Roman" w:cs="Times New Roman"/>
          <w:sz w:val="24"/>
          <w:szCs w:val="24"/>
        </w:rPr>
        <w:softHyphen/>
        <w:t>тельны, то при хроническом активном гепатите возникает выраженный синдром иммунодефицита. Прямая корреляция глубины иммунологических нарушений и степень активности хронических гепатитов свидетельствуют о существовании между ними причинно-следственных связей.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Установлена однонаправленность показателей функционального со</w:t>
      </w:r>
      <w:r>
        <w:rPr>
          <w:rFonts w:ascii="Times New Roman" w:hAnsi="Times New Roman" w:cs="Times New Roman"/>
          <w:sz w:val="24"/>
          <w:szCs w:val="24"/>
        </w:rPr>
        <w:softHyphen/>
        <w:t>стояния иммунной системы и факторов неспецифической резистентности у больных хроническими вирусными гепатитами В и Д.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Установлено, что у больных сочетанными формами хронического вирус</w:t>
      </w:r>
      <w:r>
        <w:rPr>
          <w:rFonts w:ascii="Times New Roman" w:hAnsi="Times New Roman" w:cs="Times New Roman"/>
          <w:sz w:val="24"/>
          <w:szCs w:val="24"/>
        </w:rPr>
        <w:softHyphen/>
        <w:t>ного гепатита В и Д в 42,3 % случаев наблюдаются иммунодефицитные со</w:t>
      </w:r>
      <w:r>
        <w:rPr>
          <w:rFonts w:ascii="Times New Roman" w:hAnsi="Times New Roman" w:cs="Times New Roman"/>
          <w:sz w:val="24"/>
          <w:szCs w:val="24"/>
        </w:rPr>
        <w:softHyphen/>
        <w:t>стояния или функциональная неполноценность иммунной системы.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выявлена терапевтическая эффективность виферона и Т-активина при хронических вирусных гепатитах В и Д, которая достоверно кор</w:t>
      </w:r>
      <w:r>
        <w:rPr>
          <w:rFonts w:ascii="Times New Roman" w:hAnsi="Times New Roman" w:cs="Times New Roman"/>
          <w:sz w:val="24"/>
          <w:szCs w:val="24"/>
        </w:rPr>
        <w:softHyphen/>
        <w:t>релирует с иммунокоррегирующим действием препаратов. После проведенного лечения при ХАГВ регистрируется увеличение содержания в крови Т-хелперов до 31,0%±1,5; супрессоров до 16,3%± 0,9; повышением иммунорегуляторного коэффициента до 1,96± 0,3. При ХАГД регистрируется увеличение содержа</w:t>
      </w:r>
      <w:r>
        <w:rPr>
          <w:rFonts w:ascii="Times New Roman" w:hAnsi="Times New Roman" w:cs="Times New Roman"/>
          <w:sz w:val="24"/>
          <w:szCs w:val="24"/>
        </w:rPr>
        <w:softHyphen/>
        <w:t>ния в крови Т-хелперов до 30,1±1,6; Т-супрессоров до 16,4 %±1,0; повыше</w:t>
      </w:r>
      <w:r>
        <w:rPr>
          <w:rFonts w:ascii="Times New Roman" w:hAnsi="Times New Roman" w:cs="Times New Roman"/>
          <w:sz w:val="24"/>
          <w:szCs w:val="24"/>
        </w:rPr>
        <w:softHyphen/>
        <w:t>нием иммунорегуляторного коэффициента до 1,96±0,3. Комбинированное применение виферона и Т-активина более эффективно, а выраженность иммуномодулирующего эффекта Т-активина и противовирусного действия вифе</w:t>
      </w:r>
      <w:r>
        <w:rPr>
          <w:rFonts w:ascii="Times New Roman" w:hAnsi="Times New Roman" w:cs="Times New Roman"/>
          <w:sz w:val="24"/>
          <w:szCs w:val="24"/>
        </w:rPr>
        <w:softHyphen/>
        <w:t>рона прямо пропорционально тяжести исходных нарушений.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ЦЕННОСТЬ РАБОТЫ. Установлено выраженное поло</w:t>
      </w:r>
      <w:r>
        <w:rPr>
          <w:rFonts w:ascii="Times New Roman" w:hAnsi="Times New Roman" w:cs="Times New Roman"/>
          <w:sz w:val="24"/>
          <w:szCs w:val="24"/>
        </w:rPr>
        <w:softHyphen/>
        <w:t>жительное лечебное действие виферона (ректальные свечи по 500 тыс.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ME. </w:t>
      </w:r>
      <w:r>
        <w:rPr>
          <w:rFonts w:ascii="Times New Roman" w:hAnsi="Times New Roman" w:cs="Times New Roman"/>
          <w:sz w:val="24"/>
          <w:szCs w:val="24"/>
        </w:rPr>
        <w:t>применяли курсом 180 дней; суммарная доза - 90 млн.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ME;</w:t>
      </w:r>
      <w:r>
        <w:rPr>
          <w:rFonts w:ascii="Times New Roman" w:hAnsi="Times New Roman" w:cs="Times New Roman"/>
          <w:sz w:val="24"/>
          <w:szCs w:val="24"/>
        </w:rPr>
        <w:t xml:space="preserve"> первые 30 дней -по 2 свечи ежедневно, в последующем - по 2 свечи трижды в неделю) и Т-активина (курс продолжительностью 2 месяца: 8 инъекций подкожно по 500 мкг. На 1-й неделе - 4 инъекции (1-й, 2-й, 4-й. 6-й день), на 3-й неделе - пя</w:t>
      </w:r>
      <w:r>
        <w:rPr>
          <w:rFonts w:ascii="Times New Roman" w:hAnsi="Times New Roman" w:cs="Times New Roman"/>
          <w:sz w:val="24"/>
          <w:szCs w:val="24"/>
        </w:rPr>
        <w:softHyphen/>
        <w:t>тая инъекция, затем по 1-й инъекции каждые 2 недели (трижды).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Показано, что определение функциональной активности иммунокомпетентных клеток может быть использовано в качестве критерия целесообразно</w:t>
      </w:r>
      <w:r>
        <w:rPr>
          <w:rFonts w:ascii="Times New Roman" w:hAnsi="Times New Roman" w:cs="Times New Roman"/>
          <w:sz w:val="24"/>
          <w:szCs w:val="24"/>
        </w:rPr>
        <w:softHyphen/>
        <w:t>сти проведения терапии вифероиом и Т-активином.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Показана  необходимость  обследования  больных  гастроэнтерологического профиля на возбудители вирусных гепатитов В, Д и С.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ПОЛУЧЕННЫХ РЕЗУЛЬТАТОВ. Результаты диссертации внедрены в практику работы городской больницы г.Салавата (р. Башкортостан, РФ). Основные положения работы используются при проведении учебных за</w:t>
      </w:r>
      <w:r>
        <w:rPr>
          <w:rFonts w:ascii="Times New Roman" w:hAnsi="Times New Roman" w:cs="Times New Roman"/>
          <w:sz w:val="24"/>
          <w:szCs w:val="24"/>
        </w:rPr>
        <w:softHyphen/>
        <w:t>нятий и чтении лекций, а также включены в методические пособия для студен</w:t>
      </w:r>
      <w:r>
        <w:rPr>
          <w:rFonts w:ascii="Times New Roman" w:hAnsi="Times New Roman" w:cs="Times New Roman"/>
          <w:sz w:val="24"/>
          <w:szCs w:val="24"/>
        </w:rPr>
        <w:softHyphen/>
        <w:t>тов на кафедре инфекционных болезней Военно - медицинской академии (г. Санкт-Петербург), в практической работе Института биорегуляции и геронтоло</w:t>
      </w:r>
      <w:r>
        <w:rPr>
          <w:rFonts w:ascii="Times New Roman" w:hAnsi="Times New Roman" w:cs="Times New Roman"/>
          <w:sz w:val="24"/>
          <w:szCs w:val="24"/>
        </w:rPr>
        <w:softHyphen/>
        <w:t>гии (г. Санкт-Петербург)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АПРОБАЦИЯ ДИССЕРТАЦИИ Материалы диссертации были доложены и представлены в Институте биорегуляции и геронтологии г. Санкт-Петербурга (1995, 1996), на объединенной научно-практической конференции сотрудников кафедры инфекционных болезней Военно-медицинской академии и Института биорегуляции и геронтологии (1996), на Всероссийской научно-практической конференции "Пожилой больной. Качество жизни" (Москва, 1996), международ</w:t>
      </w:r>
      <w:r>
        <w:rPr>
          <w:rFonts w:ascii="Times New Roman" w:hAnsi="Times New Roman" w:cs="Times New Roman"/>
          <w:sz w:val="24"/>
          <w:szCs w:val="24"/>
        </w:rPr>
        <w:softHyphen/>
        <w:t>ном симпозиуме "Геронтологические аспекты пептидной регуляции функций ор</w:t>
      </w:r>
      <w:r>
        <w:rPr>
          <w:rFonts w:ascii="Times New Roman" w:hAnsi="Times New Roman" w:cs="Times New Roman"/>
          <w:sz w:val="24"/>
          <w:szCs w:val="24"/>
        </w:rPr>
        <w:softHyphen/>
        <w:t>ганизма" (Санкт-Петербург, 1996), Юбилейной научной конференции, посвя</w:t>
      </w:r>
      <w:r>
        <w:rPr>
          <w:rFonts w:ascii="Times New Roman" w:hAnsi="Times New Roman" w:cs="Times New Roman"/>
          <w:sz w:val="24"/>
          <w:szCs w:val="24"/>
        </w:rPr>
        <w:softHyphen/>
        <w:t>щенной столетию первой в России кафедры инфекционных болезней "Инфектология. Достижения и перспективы" (Санкт-Петербург, 1996).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диссертации опубликовано 3 работы, и 2 приняты в печать.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ОБЬЕМ ДИССЕРТАЦИИ. Диссертация состоит из введе</w:t>
      </w:r>
      <w:r>
        <w:rPr>
          <w:rFonts w:ascii="Times New Roman" w:hAnsi="Times New Roman" w:cs="Times New Roman"/>
          <w:sz w:val="24"/>
          <w:szCs w:val="24"/>
        </w:rPr>
        <w:softHyphen/>
        <w:t>ния, пяти глав: 1 - обзор литературы, 2 - материал и методы исследования, 3 - 5 главы собственных исследований, обсуждения полученных результатов, выводов и библиографического указателя (261 источник). Работа изложена на 127 страницах машинописного текста, содержит 27 таблиц и 5 рисунков. Материалы и методы исследования.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Клиническое наблюдение за больными с острым и хроническим вирус</w:t>
      </w:r>
      <w:r>
        <w:rPr>
          <w:rFonts w:ascii="Times New Roman" w:hAnsi="Times New Roman" w:cs="Times New Roman"/>
          <w:sz w:val="24"/>
          <w:szCs w:val="24"/>
        </w:rPr>
        <w:softHyphen/>
        <w:t>ным гепатитом проводили на базе отделений вирусного гепатита городской больницы г. Салават (республика Башкортостан). В результате обследования более 5000 больных гастроэнторологического профиля выявлено 115 больных хроническим вирусным гепатитом В и 78 больных хроническим вирусным гепа</w:t>
      </w:r>
      <w:r>
        <w:rPr>
          <w:rFonts w:ascii="Times New Roman" w:hAnsi="Times New Roman" w:cs="Times New Roman"/>
          <w:sz w:val="24"/>
          <w:szCs w:val="24"/>
        </w:rPr>
        <w:softHyphen/>
        <w:t>титом Д в возрасте от 18 до 63 лет.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Серологическую диагностику проводили в ИФА-лаборатории городской клинической больницы г. Салавата (во время госпитализации), а также в ЦКДЛ Военно-медицинской академии (ретроспективно). Сыворотки хранились при -20°С; транспортировка осуществлялась в переносном холодильнике. Исследо</w:t>
      </w:r>
      <w:r>
        <w:rPr>
          <w:rFonts w:ascii="Times New Roman" w:hAnsi="Times New Roman" w:cs="Times New Roman"/>
          <w:sz w:val="24"/>
          <w:szCs w:val="24"/>
        </w:rPr>
        <w:softHyphen/>
        <w:t>вания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HBsAg,</w:t>
      </w:r>
      <w:r>
        <w:rPr>
          <w:rFonts w:ascii="Times New Roman" w:hAnsi="Times New Roman" w:cs="Times New Roman"/>
          <w:sz w:val="24"/>
          <w:szCs w:val="24"/>
        </w:rPr>
        <w:t xml:space="preserve"> суммарных антител к НВс, антител к НВс класса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IgM,</w:t>
      </w:r>
      <w:r>
        <w:rPr>
          <w:rFonts w:ascii="Times New Roman" w:hAnsi="Times New Roman" w:cs="Times New Roman"/>
          <w:sz w:val="24"/>
          <w:szCs w:val="24"/>
        </w:rPr>
        <w:t xml:space="preserve"> антител к </w:t>
      </w:r>
      <w:r>
        <w:rPr>
          <w:rFonts w:ascii="Times New Roman" w:hAnsi="Times New Roman" w:cs="Times New Roman"/>
          <w:sz w:val="24"/>
          <w:szCs w:val="24"/>
          <w:lang w:val="en-US"/>
        </w:rPr>
        <w:t>HBs,</w:t>
      </w:r>
      <w:r>
        <w:rPr>
          <w:rFonts w:ascii="Times New Roman" w:hAnsi="Times New Roman" w:cs="Times New Roman"/>
          <w:sz w:val="24"/>
          <w:szCs w:val="24"/>
        </w:rPr>
        <w:t xml:space="preserve"> суммарных антител 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HDV,</w:t>
      </w:r>
      <w:r>
        <w:rPr>
          <w:rFonts w:ascii="Times New Roman" w:hAnsi="Times New Roman" w:cs="Times New Roman"/>
          <w:sz w:val="24"/>
          <w:szCs w:val="24"/>
        </w:rPr>
        <w:t xml:space="preserve"> антител 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HDV</w:t>
      </w:r>
      <w:r>
        <w:rPr>
          <w:rFonts w:ascii="Times New Roman" w:hAnsi="Times New Roman" w:cs="Times New Roman"/>
          <w:sz w:val="24"/>
          <w:szCs w:val="24"/>
        </w:rPr>
        <w:t xml:space="preserve"> класса IgM, антител 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</w:t>
      </w:r>
      <w:r>
        <w:rPr>
          <w:rFonts w:ascii="Times New Roman" w:hAnsi="Times New Roman" w:cs="Times New Roman"/>
          <w:sz w:val="24"/>
          <w:szCs w:val="24"/>
        </w:rPr>
        <w:t xml:space="preserve"> IgM, антител 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CMV IgM</w:t>
      </w:r>
      <w:r>
        <w:rPr>
          <w:rFonts w:ascii="Times New Roman" w:hAnsi="Times New Roman" w:cs="Times New Roman"/>
          <w:sz w:val="24"/>
          <w:szCs w:val="24"/>
        </w:rPr>
        <w:t xml:space="preserve"> проводили с помощью диагностических тест-системы произ</w:t>
      </w:r>
      <w:r>
        <w:rPr>
          <w:rFonts w:ascii="Times New Roman" w:hAnsi="Times New Roman" w:cs="Times New Roman"/>
          <w:sz w:val="24"/>
          <w:szCs w:val="24"/>
        </w:rPr>
        <w:softHyphen/>
        <w:t>водства фирм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"Abbott Lab."</w:t>
      </w:r>
      <w:r>
        <w:rPr>
          <w:rFonts w:ascii="Times New Roman" w:hAnsi="Times New Roman" w:cs="Times New Roman"/>
          <w:sz w:val="24"/>
          <w:szCs w:val="24"/>
        </w:rPr>
        <w:t xml:space="preserve"> (США),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"Behring"</w:t>
      </w:r>
      <w:r>
        <w:rPr>
          <w:rFonts w:ascii="Times New Roman" w:hAnsi="Times New Roman" w:cs="Times New Roman"/>
          <w:sz w:val="24"/>
          <w:szCs w:val="24"/>
        </w:rPr>
        <w:t xml:space="preserve"> (Германия), СП "ДИАплюс".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Биохимические и иммунологические исследования проводились в клини</w:t>
      </w:r>
      <w:r>
        <w:rPr>
          <w:rFonts w:ascii="Times New Roman" w:hAnsi="Times New Roman" w:cs="Times New Roman"/>
          <w:sz w:val="24"/>
          <w:szCs w:val="24"/>
        </w:rPr>
        <w:softHyphen/>
        <w:t>ческой лаборатории больницы. Оценка иммунного статуса включала в себя тесты на состояние клеточного и гуморального иммунитета, функциональной активности макрофагов, а также факторов неспецифической защиты (система интерферона). Определяли содержание теофилин-чувствительных (Етфч) и теофилин-резистентных (Етфр) розеткообразующих лимфоцитов - РОЛ (по методу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A.Shore et al.,</w:t>
      </w:r>
      <w:r>
        <w:rPr>
          <w:rFonts w:ascii="Times New Roman" w:hAnsi="Times New Roman" w:cs="Times New Roman"/>
          <w:sz w:val="24"/>
          <w:szCs w:val="24"/>
        </w:rPr>
        <w:t xml:space="preserve"> 1978); абсолютное и относительное число моноцитов пе</w:t>
      </w:r>
      <w:r>
        <w:rPr>
          <w:rFonts w:ascii="Times New Roman" w:hAnsi="Times New Roman" w:cs="Times New Roman"/>
          <w:sz w:val="24"/>
          <w:szCs w:val="24"/>
        </w:rPr>
        <w:softHyphen/>
        <w:t>риферической крови; уровень сывороточных иммуноглобулинов А, М,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 (Mancini G.,</w:t>
      </w:r>
      <w:r>
        <w:rPr>
          <w:rFonts w:ascii="Times New Roman" w:hAnsi="Times New Roman" w:cs="Times New Roman"/>
          <w:sz w:val="24"/>
          <w:szCs w:val="24"/>
        </w:rPr>
        <w:t xml:space="preserve"> 1965) и циркулирующих иммунных комплексов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(Digeon G.,</w:t>
      </w:r>
      <w:r>
        <w:rPr>
          <w:rFonts w:ascii="Times New Roman" w:hAnsi="Times New Roman" w:cs="Times New Roman"/>
          <w:sz w:val="24"/>
          <w:szCs w:val="24"/>
        </w:rPr>
        <w:t xml:space="preserve"> 1976). Количественное определение сывороточных иммуноглобулинов проводили ме</w:t>
      </w:r>
      <w:r>
        <w:rPr>
          <w:rFonts w:ascii="Times New Roman" w:hAnsi="Times New Roman" w:cs="Times New Roman"/>
          <w:sz w:val="24"/>
          <w:szCs w:val="24"/>
        </w:rPr>
        <w:softHyphen/>
        <w:t>тодом простой радиальной иммунодиффузии в геле 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G. Mancini</w:t>
      </w:r>
      <w:r>
        <w:rPr>
          <w:rFonts w:ascii="Times New Roman" w:hAnsi="Times New Roman" w:cs="Times New Roman"/>
          <w:sz w:val="24"/>
          <w:szCs w:val="24"/>
        </w:rPr>
        <w:t xml:space="preserve"> (1965) с ис</w:t>
      </w:r>
      <w:r>
        <w:rPr>
          <w:rFonts w:ascii="Times New Roman" w:hAnsi="Times New Roman" w:cs="Times New Roman"/>
          <w:sz w:val="24"/>
          <w:szCs w:val="24"/>
        </w:rPr>
        <w:softHyphen/>
        <w:t>пользованием моноспецифических сывороток против иммуноглобулинов чело</w:t>
      </w:r>
      <w:r>
        <w:rPr>
          <w:rFonts w:ascii="Times New Roman" w:hAnsi="Times New Roman" w:cs="Times New Roman"/>
          <w:sz w:val="24"/>
          <w:szCs w:val="24"/>
        </w:rPr>
        <w:softHyphen/>
        <w:t>века.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характера нарушений функционального состояния макро</w:t>
      </w:r>
      <w:r>
        <w:rPr>
          <w:rFonts w:ascii="Times New Roman" w:hAnsi="Times New Roman" w:cs="Times New Roman"/>
          <w:sz w:val="24"/>
          <w:szCs w:val="24"/>
        </w:rPr>
        <w:softHyphen/>
        <w:t>фагов и гуморального звена фагоцитарной системы у больных ХГ проводилось: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показателей хемотаксиса макрофагов во второй фазе АВР в тес</w:t>
      </w:r>
      <w:r>
        <w:rPr>
          <w:rFonts w:ascii="Times New Roman" w:hAnsi="Times New Roman" w:cs="Times New Roman"/>
          <w:sz w:val="24"/>
          <w:szCs w:val="24"/>
        </w:rPr>
        <w:softHyphen/>
        <w:t>те "кожного окна" 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Rebuck J.W.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Crowley J.A.,</w:t>
      </w:r>
      <w:r>
        <w:rPr>
          <w:rFonts w:ascii="Times New Roman" w:hAnsi="Times New Roman" w:cs="Times New Roman"/>
          <w:sz w:val="24"/>
          <w:szCs w:val="24"/>
        </w:rPr>
        <w:t xml:space="preserve"> 1955. Исследование активно</w:t>
      </w:r>
      <w:r>
        <w:rPr>
          <w:rFonts w:ascii="Times New Roman" w:hAnsi="Times New Roman" w:cs="Times New Roman"/>
          <w:sz w:val="24"/>
          <w:szCs w:val="24"/>
        </w:rPr>
        <w:softHyphen/>
        <w:t>сти 5-нуклеотидазы мембран макрофагов 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Naidos D.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Pratt O.E.</w:t>
      </w:r>
      <w:r>
        <w:rPr>
          <w:rFonts w:ascii="Times New Roman" w:hAnsi="Times New Roman" w:cs="Times New Roman"/>
          <w:sz w:val="24"/>
          <w:szCs w:val="24"/>
        </w:rPr>
        <w:t xml:space="preserve"> Определе</w:t>
      </w:r>
      <w:r>
        <w:rPr>
          <w:rFonts w:ascii="Times New Roman" w:hAnsi="Times New Roman" w:cs="Times New Roman"/>
          <w:sz w:val="24"/>
          <w:szCs w:val="24"/>
        </w:rPr>
        <w:softHyphen/>
        <w:t>ние активности СЗ и С4 компонентов комплемента нефелометрическим мето</w:t>
      </w:r>
      <w:r>
        <w:rPr>
          <w:rFonts w:ascii="Times New Roman" w:hAnsi="Times New Roman" w:cs="Times New Roman"/>
          <w:sz w:val="24"/>
          <w:szCs w:val="24"/>
        </w:rPr>
        <w:softHyphen/>
        <w:t>дом 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Kobb W.R.</w:t>
      </w:r>
      <w:r>
        <w:rPr>
          <w:rFonts w:ascii="Times New Roman" w:hAnsi="Times New Roman" w:cs="Times New Roman"/>
          <w:sz w:val="24"/>
          <w:szCs w:val="24"/>
        </w:rPr>
        <w:t xml:space="preserve"> (1979).   Для определения миграционной активности (хемотаксиса) макрофагов и активности 5- нукпеотидазы (5Н) цитоплазмотичеческой мембраны макрофагов получали отпечатки клеточного эксудата асепти</w:t>
      </w:r>
      <w:r>
        <w:rPr>
          <w:rFonts w:ascii="Times New Roman" w:hAnsi="Times New Roman" w:cs="Times New Roman"/>
          <w:sz w:val="24"/>
          <w:szCs w:val="24"/>
        </w:rPr>
        <w:softHyphen/>
        <w:t>ческой воспалительной реакции в коже 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Rebuck J.W.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Crowley J.A.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Ультразвуковое исследование печени и желчевыводящих путей прово</w:t>
      </w:r>
      <w:r>
        <w:rPr>
          <w:rFonts w:ascii="Times New Roman" w:hAnsi="Times New Roman" w:cs="Times New Roman"/>
          <w:sz w:val="24"/>
          <w:szCs w:val="24"/>
        </w:rPr>
        <w:softHyphen/>
        <w:t>дилось в динамике наблюдения с использованием сканера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"Roche Superscan </w:t>
      </w:r>
      <w:r>
        <w:rPr>
          <w:rFonts w:ascii="Times New Roman" w:hAnsi="Times New Roman" w:cs="Times New Roman"/>
          <w:sz w:val="24"/>
          <w:szCs w:val="24"/>
        </w:rPr>
        <w:t>50" (Франция) в больнице г. Салавата.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Пункционная биопсия печени проводилась методом чрезкожной слепой пункции печени по методике Ю.И.Богомазова (1965) в специализированном хи</w:t>
      </w:r>
      <w:r>
        <w:rPr>
          <w:rFonts w:ascii="Times New Roman" w:hAnsi="Times New Roman" w:cs="Times New Roman"/>
          <w:sz w:val="24"/>
          <w:szCs w:val="24"/>
        </w:rPr>
        <w:softHyphen/>
        <w:t>рургическом отделении клинической больницы г. Салавата. Морфологическое исследование ткани печени, полученной у больных с хроническим гепатитом при пункционной биопсии иглой Менгини, проводили в институте Морфологии человека РАМН (г. Москва).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Клиническая характеристика и результаты лечения при хроническом гепатите В.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наблюдением находились 115 больных с различными формами хро</w:t>
      </w:r>
      <w:r>
        <w:rPr>
          <w:rFonts w:ascii="Times New Roman" w:hAnsi="Times New Roman" w:cs="Times New Roman"/>
          <w:sz w:val="24"/>
          <w:szCs w:val="24"/>
        </w:rPr>
        <w:softHyphen/>
        <w:t>нической HBV-инфекции, из них у 12-и была диагностирована суперинфекция вирусом гепатита А. К этому времени 87 больных уже наблюдались в течение различного времени (в среднем — 18,9 мес ± 1,9 мес) по поводу хронического гепатита. У большинства (79) из этих больных хронический гепатит был впер</w:t>
      </w:r>
      <w:r>
        <w:rPr>
          <w:rFonts w:ascii="Times New Roman" w:hAnsi="Times New Roman" w:cs="Times New Roman"/>
          <w:sz w:val="24"/>
          <w:szCs w:val="24"/>
        </w:rPr>
        <w:softHyphen/>
        <w:t>вые диагностирован случайно (при обследовании в связи с заболеваниями желудочно-кишечного тракта или контактом по вирусному гепатиту).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общей группе из 115 наблюдаемых больных с ХГВ лишь у 26 (22,6%) больных в анамнезе отмечали ОВГ с желтухой. У большинства больных (77,4%) ХГВ протекал латентно, без начальных клинических симптомов острого гепатита и без желтухи в анамнезе. Первые признаки патологии печени у 3,5% больных ХГВ были выявлены в возрасте до 20 лет, у 52,2% - от 21 до 30 лет, у 31,3% - от 31 до 40 лет и у 13,0% - в возрасте старше 41 лет. У 56 (48,7%) был диагностирован ХПГ и у 59 (51,3%) - ХАГ. Цирроз печени среди больных с субклиническими формами ХГВ не был диагностирован. Диагноз был подтвер</w:t>
      </w:r>
      <w:r>
        <w:rPr>
          <w:rFonts w:ascii="Times New Roman" w:hAnsi="Times New Roman" w:cs="Times New Roman"/>
          <w:sz w:val="24"/>
          <w:szCs w:val="24"/>
        </w:rPr>
        <w:softHyphen/>
        <w:t>жден морфологически у 29 больных ХПГ и 53 - с ХАГ.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Катамнестическое наблюдение за 99 больными с ХГВ (без признаков </w:t>
      </w:r>
      <w:r>
        <w:rPr>
          <w:rFonts w:ascii="Times New Roman" w:hAnsi="Times New Roman" w:cs="Times New Roman"/>
          <w:sz w:val="24"/>
          <w:szCs w:val="24"/>
          <w:lang w:val="en-US"/>
        </w:rPr>
        <w:t>HAV-</w:t>
      </w:r>
      <w:r>
        <w:rPr>
          <w:rFonts w:ascii="Times New Roman" w:hAnsi="Times New Roman" w:cs="Times New Roman"/>
          <w:sz w:val="24"/>
          <w:szCs w:val="24"/>
        </w:rPr>
        <w:t xml:space="preserve"> или HDV-инфекции) мы проводили в течение длительного времени (в среднем - 33,4 ± 2,0 мес) 49 из наблюдаемых нами больных ХГВ (33 с ХПГ, 16 с ХАГ) получали лишь базисную терапию в ходе наблюдения. Морфологически диагноз заболевания был подтвержден у 31 больных из этой группы (19 - ХПГ и 12 - ХАГ). Пятьдесят больных ХГВ (10 - ХПГ, 40 - ХАГ) получали курсы про</w:t>
      </w:r>
      <w:r>
        <w:rPr>
          <w:rFonts w:ascii="Times New Roman" w:hAnsi="Times New Roman" w:cs="Times New Roman"/>
          <w:sz w:val="24"/>
          <w:szCs w:val="24"/>
        </w:rPr>
        <w:softHyphen/>
        <w:t>тивовирусной и/или иммуномодулирующей терапии; морфологически диагноз ХАГ был подтвержден у 41 больного, ХПГ - у 4 больных.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Катамнестическое наблюдение за 99 больными с ХГВ (без признаков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HAV-</w:t>
      </w:r>
      <w:r>
        <w:rPr>
          <w:rFonts w:ascii="Times New Roman" w:hAnsi="Times New Roman" w:cs="Times New Roman"/>
          <w:sz w:val="24"/>
          <w:szCs w:val="24"/>
        </w:rPr>
        <w:t>или HDV-инфекции) мы проводили в течение длительного времени (в среднем -33,4 ± 2,0 мес.). Выраженность клинико-лабораторной симптоматики в динамике процесса оценивали с учетом диагноза (ХПГ или ХАГ) и характера терапии. 49 из наблюдаемых нами больных ХГВ (33 - ХПГ, 16 - ХАГ) получали лишь базисную терапию в ходе наблюдения. Морфологически диагноз заболевания был подтвер</w:t>
      </w:r>
      <w:r>
        <w:rPr>
          <w:rFonts w:ascii="Times New Roman" w:hAnsi="Times New Roman" w:cs="Times New Roman"/>
          <w:sz w:val="24"/>
          <w:szCs w:val="24"/>
        </w:rPr>
        <w:softHyphen/>
        <w:t>жден у 31 больных из этой группы (19 - ХПГ и 12 - ХАГ). Пятьдесят больных ХГВ (10 - ХПГ, 40 - ХАГ) получали курсы противовирусной и/или иммуномодулирующей терапии; морфологически диагноз ХАГ был подтвержден у 41 больного, ХПГ -у 4 больных 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динамического наблюдения за больными с хронической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HBV-</w:t>
      </w:r>
      <w:r>
        <w:rPr>
          <w:rFonts w:ascii="Times New Roman" w:hAnsi="Times New Roman" w:cs="Times New Roman"/>
          <w:sz w:val="24"/>
          <w:szCs w:val="24"/>
        </w:rPr>
        <w:t>инфекцией свидетельствуют о том, что при ХПГВ и ХАГВ в зависимости от вида терапии течение заболевания имеет некоторые отличия. Стадия активного про</w:t>
      </w:r>
      <w:r>
        <w:rPr>
          <w:rFonts w:ascii="Times New Roman" w:hAnsi="Times New Roman" w:cs="Times New Roman"/>
          <w:sz w:val="24"/>
          <w:szCs w:val="24"/>
        </w:rPr>
        <w:softHyphen/>
        <w:t>цесса на фоне базисной терапии длится, как правило, в течение нескольких лет (1 - 4 года после установления диагноза) и характеризуется чередованием периодов ремиссии и обострения или сохранением постоянной активности. Впоследствии у большинства больных отмечаются длительные ремиссии (табл.1)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Частота выявления обострении в динамике ХАГВ на фоне различной терапии.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418"/>
        <w:gridCol w:w="1134"/>
        <w:gridCol w:w="1134"/>
        <w:gridCol w:w="1275"/>
        <w:gridCol w:w="1418"/>
      </w:tblGrid>
      <w:tr w:rsidR="003E1D57">
        <w:trPr>
          <w:cantSplit/>
          <w:trHeight w:val="48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наблюдения (гг.)</w:t>
            </w:r>
          </w:p>
        </w:tc>
      </w:tr>
      <w:tr w:rsidR="003E1D57">
        <w:trPr>
          <w:cantSplit/>
          <w:trHeight w:val="48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1D57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БАЗИСНАЯ (12)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</w:tr>
      <w:tr w:rsidR="003E1D57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Т-АКТИВИН (16)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</w:t>
            </w:r>
          </w:p>
        </w:tc>
      </w:tr>
      <w:tr w:rsidR="003E1D57">
        <w:trPr>
          <w:trHeight w:val="4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ВИФЕРОН (18)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</w:t>
            </w:r>
          </w:p>
        </w:tc>
      </w:tr>
      <w:tr w:rsidR="003E1D57">
        <w:trPr>
          <w:trHeight w:val="4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ВИФЕРОК и Т-АКТИВИН (16)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</w:tr>
    </w:tbl>
    <w:p w:rsidR="003E1D57" w:rsidRDefault="003E1D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фоне базисного лечения при ХПГ фаза активного процесса длилась обычно в течение 1-2 лет после установления диагноза, после чего у большинства больных наступала длительная (от 1 до 5 лет) клинико-лабораторная ремиссия. У всех больных с ХПГ, начиная со 2-го года наблюдения, регистрировались состоя</w:t>
      </w:r>
      <w:r>
        <w:rPr>
          <w:rFonts w:ascii="Times New Roman" w:hAnsi="Times New Roman" w:cs="Times New Roman"/>
          <w:sz w:val="24"/>
          <w:szCs w:val="24"/>
        </w:rPr>
        <w:softHyphen/>
        <w:t>ния ремиссии. При ХАГ состояния обострения отмечались у всех больных на 1-м году наблюдения. Затем в течение первых 2-4 лет наблюдения процесс в боль</w:t>
      </w:r>
      <w:r>
        <w:rPr>
          <w:rFonts w:ascii="Times New Roman" w:hAnsi="Times New Roman" w:cs="Times New Roman"/>
          <w:sz w:val="24"/>
          <w:szCs w:val="24"/>
        </w:rPr>
        <w:softHyphen/>
        <w:t>шинстве случаев характеризовался чередованием периодов обострения и ремис</w:t>
      </w:r>
      <w:r>
        <w:rPr>
          <w:rFonts w:ascii="Times New Roman" w:hAnsi="Times New Roman" w:cs="Times New Roman"/>
          <w:sz w:val="24"/>
          <w:szCs w:val="24"/>
        </w:rPr>
        <w:softHyphen/>
        <w:t>сии; у 4-х больных отмечали постоянно выраженную активность процесса. При ХАГ на 5-м году от начала наблюдения ремиссии отмечались у всех больных. К этому сроку у половины больных с ХАГ была диагностирована устойчивая клини</w:t>
      </w:r>
      <w:r>
        <w:rPr>
          <w:rFonts w:ascii="Times New Roman" w:hAnsi="Times New Roman" w:cs="Times New Roman"/>
          <w:sz w:val="24"/>
          <w:szCs w:val="24"/>
        </w:rPr>
        <w:softHyphen/>
        <w:t>ко-лабораторная ремиссия длительностью от 2 до 4 лет (табл.2).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Частота выявления ремиссий в динамике ХАГВ на фоне различной терапии.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1417"/>
        <w:gridCol w:w="1276"/>
        <w:gridCol w:w="992"/>
        <w:gridCol w:w="1276"/>
      </w:tblGrid>
      <w:tr w:rsidR="003E1D57">
        <w:trPr>
          <w:cantSplit/>
          <w:trHeight w:val="50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наблюдения (гг.)</w:t>
            </w:r>
          </w:p>
        </w:tc>
      </w:tr>
      <w:tr w:rsidR="003E1D57">
        <w:trPr>
          <w:cantSplit/>
          <w:trHeight w:val="48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1D57">
        <w:trPr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БАЗИСНАЯ (12)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</w:tr>
      <w:tr w:rsidR="003E1D57">
        <w:trPr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Т-АКТИВИН (16)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3E1D57">
        <w:trPr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ВИФЕРОН (18)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6/9</w:t>
            </w:r>
          </w:p>
        </w:tc>
      </w:tr>
      <w:tr w:rsidR="003E1D57">
        <w:trPr>
          <w:trHeight w:val="3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ВИФЕРОН и Т-АКТИВИН (16)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</w:tr>
    </w:tbl>
    <w:p w:rsidR="003E1D57" w:rsidRDefault="003E1D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больных ХАГ, получающих различные курсы противовирусной и/или иммуномодулирующей терапии, продолжительные состояния ремиссии отмеча</w:t>
      </w:r>
      <w:r>
        <w:rPr>
          <w:rFonts w:ascii="Times New Roman" w:hAnsi="Times New Roman" w:cs="Times New Roman"/>
          <w:sz w:val="24"/>
          <w:szCs w:val="24"/>
        </w:rPr>
        <w:softHyphen/>
        <w:t>лись уже на 1-2 м годах наблюдения и у большей части из них - в дальнейшем периоде наблюдения. Впоследствии процесс обычно принимал волнообразный характер и характеризовался чередованием периодов обострения и ремиссии. У некоторых больных в течение первых 3-4 лет наблюдения выявлялась слабо вы</w:t>
      </w:r>
      <w:r>
        <w:rPr>
          <w:rFonts w:ascii="Times New Roman" w:hAnsi="Times New Roman" w:cs="Times New Roman"/>
          <w:sz w:val="24"/>
          <w:szCs w:val="24"/>
        </w:rPr>
        <w:softHyphen/>
        <w:t>раженная активность процесса У части больных обострения отмечались на пер</w:t>
      </w:r>
      <w:r>
        <w:rPr>
          <w:rFonts w:ascii="Times New Roman" w:hAnsi="Times New Roman" w:cs="Times New Roman"/>
          <w:sz w:val="24"/>
          <w:szCs w:val="24"/>
        </w:rPr>
        <w:softHyphen/>
        <w:t>вом году наблюдения (несмотря на проводимое лечение). После 3 года наблюде</w:t>
      </w:r>
      <w:r>
        <w:rPr>
          <w:rFonts w:ascii="Times New Roman" w:hAnsi="Times New Roman" w:cs="Times New Roman"/>
          <w:sz w:val="24"/>
          <w:szCs w:val="24"/>
        </w:rPr>
        <w:softHyphen/>
        <w:t>ния ремиссии выявлялись практически у всех больных. Длительность ремиссии более, чем у половины (56,1 %) больных составила 2-4 лет.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Проведенное нами исследование показало, что ВГА при наслоении на хро</w:t>
      </w:r>
      <w:r>
        <w:rPr>
          <w:rFonts w:ascii="Times New Roman" w:hAnsi="Times New Roman" w:cs="Times New Roman"/>
          <w:sz w:val="24"/>
          <w:szCs w:val="24"/>
        </w:rPr>
        <w:softHyphen/>
        <w:t>ническую HBV-инфекцию протекает как острый и цикличный гепатит. Хроническая HBV-инфекция в результате суперинфекции вирусом гепатита А не приобретает какой-либо агрессивности и не теряет типичного течения.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Клиническая характеристика и результаты лечения при хроническом гепатите Д.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нашим наблюдением находились 78 больных с хроническим гепатитом Д. Удалось установить зависимость частоты выявления HDV-инфекции от дли</w:t>
      </w:r>
      <w:r>
        <w:rPr>
          <w:rFonts w:ascii="Times New Roman" w:hAnsi="Times New Roman" w:cs="Times New Roman"/>
          <w:sz w:val="24"/>
          <w:szCs w:val="24"/>
        </w:rPr>
        <w:softHyphen/>
        <w:t>тельности заболевания и возраста больных с хроническим HBsAg-позитивным ге</w:t>
      </w:r>
      <w:r>
        <w:rPr>
          <w:rFonts w:ascii="Times New Roman" w:hAnsi="Times New Roman" w:cs="Times New Roman"/>
          <w:sz w:val="24"/>
          <w:szCs w:val="24"/>
        </w:rPr>
        <w:softHyphen/>
        <w:t>патитом. Так, анти-HDV обнаруживались у 28,8 % больных при сроке медицинского наблюдения до 1 года, у 45,9 % - при наблюдении 1-3 года, у 61,1 % - при сро</w:t>
      </w:r>
      <w:r>
        <w:rPr>
          <w:rFonts w:ascii="Times New Roman" w:hAnsi="Times New Roman" w:cs="Times New Roman"/>
          <w:sz w:val="24"/>
          <w:szCs w:val="24"/>
        </w:rPr>
        <w:softHyphen/>
        <w:t>ке наблюдения более 3 лет. Среди больных ХГД при первом поступлении 12 больных были в возрасте до 20 лет, 25 - от 21 до 30 лет, 15 - от 31 до 40 лет, 26 -старше 41 лет. К этому времени все больные ХГВ с HDV-инфекцией уже наблю</w:t>
      </w:r>
      <w:r>
        <w:rPr>
          <w:rFonts w:ascii="Times New Roman" w:hAnsi="Times New Roman" w:cs="Times New Roman"/>
          <w:sz w:val="24"/>
          <w:szCs w:val="24"/>
        </w:rPr>
        <w:softHyphen/>
        <w:t>дались по поводу хронического гепатита в течение различного времени (в среднем 26,3 мес. ± 2,6 мес.).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тестировании сыворотки крови 49 из 59 больных ХГД, имевших жел</w:t>
      </w:r>
      <w:r>
        <w:rPr>
          <w:rFonts w:ascii="Times New Roman" w:hAnsi="Times New Roman" w:cs="Times New Roman"/>
          <w:sz w:val="24"/>
          <w:szCs w:val="24"/>
        </w:rPr>
        <w:softHyphen/>
        <w:t>тушные обострения в ходе болезни, суммарные антитела 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</w:t>
      </w:r>
      <w:r>
        <w:rPr>
          <w:rFonts w:ascii="Times New Roman" w:hAnsi="Times New Roman" w:cs="Times New Roman"/>
          <w:sz w:val="24"/>
          <w:szCs w:val="24"/>
        </w:rPr>
        <w:t xml:space="preserve"> были обнаружены у всех больных с трехкратными желтухами, у 13 из 17 больных с двукратными жел</w:t>
      </w:r>
      <w:r>
        <w:rPr>
          <w:rFonts w:ascii="Times New Roman" w:hAnsi="Times New Roman" w:cs="Times New Roman"/>
          <w:sz w:val="24"/>
          <w:szCs w:val="24"/>
        </w:rPr>
        <w:softHyphen/>
        <w:t>тухами и у 20 из 28 обследованных больных с однократной желтухой. У 12 боль</w:t>
      </w:r>
      <w:r>
        <w:rPr>
          <w:rFonts w:ascii="Times New Roman" w:hAnsi="Times New Roman" w:cs="Times New Roman"/>
          <w:sz w:val="24"/>
          <w:szCs w:val="24"/>
        </w:rPr>
        <w:softHyphen/>
        <w:t>ных с желтухами в ходе болезни (в том числе повторными), анти-HAV не были вы</w:t>
      </w:r>
      <w:r>
        <w:rPr>
          <w:rFonts w:ascii="Times New Roman" w:hAnsi="Times New Roman" w:cs="Times New Roman"/>
          <w:sz w:val="24"/>
          <w:szCs w:val="24"/>
        </w:rPr>
        <w:softHyphen/>
        <w:t>явлены, что свидетельствует об отсутствии этиологической связи между данными желтушными обострениями и ВГА.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больных ХГД у 5 (6,4%) больных был диагностирован ХПГ, у 40 (51,3%) - ХАГ и у 33 (42,3%) - ХАГ в фазе цирроза печени. Диагноз был подтвер</w:t>
      </w:r>
      <w:r>
        <w:rPr>
          <w:rFonts w:ascii="Times New Roman" w:hAnsi="Times New Roman" w:cs="Times New Roman"/>
          <w:sz w:val="24"/>
          <w:szCs w:val="24"/>
        </w:rPr>
        <w:softHyphen/>
        <w:t>жден морфологически у всех больных ХПГ, у 36 - ХАГ и 28 больных ХАГ.Ц. Срав</w:t>
      </w:r>
      <w:r>
        <w:rPr>
          <w:rFonts w:ascii="Times New Roman" w:hAnsi="Times New Roman" w:cs="Times New Roman"/>
          <w:sz w:val="24"/>
          <w:szCs w:val="24"/>
        </w:rPr>
        <w:softHyphen/>
        <w:t>нение выраженности клинико-лабораторных проявлений в периоде обострения при ХАГД и ХАГВ позволило выявить некоторые различия. У больных первой груп</w:t>
      </w:r>
      <w:r>
        <w:rPr>
          <w:rFonts w:ascii="Times New Roman" w:hAnsi="Times New Roman" w:cs="Times New Roman"/>
          <w:sz w:val="24"/>
          <w:szCs w:val="24"/>
        </w:rPr>
        <w:softHyphen/>
        <w:t>пы значимо чаще (85,2%, р&lt;0,01) выявляются симптомы интоксикации (при ХГВ -14,9%) и внепеченочные знаки (при ХГД - 92,6 % и ХГВ - 57,4 %). Показатели ти</w:t>
      </w:r>
      <w:r>
        <w:rPr>
          <w:rFonts w:ascii="Times New Roman" w:hAnsi="Times New Roman" w:cs="Times New Roman"/>
          <w:sz w:val="24"/>
          <w:szCs w:val="24"/>
        </w:rPr>
        <w:softHyphen/>
        <w:t>моловой и сулемовой проб, а также содержание альбуминов и гамма-глобулинов существенно изменялись лишь при ХАГД.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Катамнестическое наблюдение за 78 больными с ХГД мы проводили в те</w:t>
      </w:r>
      <w:r>
        <w:rPr>
          <w:rFonts w:ascii="Times New Roman" w:hAnsi="Times New Roman" w:cs="Times New Roman"/>
          <w:sz w:val="24"/>
          <w:szCs w:val="24"/>
        </w:rPr>
        <w:softHyphen/>
        <w:t>чение длительного времени (в среднем 31,4 мес. ± 2,2 мес.). Выраженность клинико-лабораторной симптоматики в динамике процесса оценивали с учетом клини</w:t>
      </w:r>
      <w:r>
        <w:rPr>
          <w:rFonts w:ascii="Times New Roman" w:hAnsi="Times New Roman" w:cs="Times New Roman"/>
          <w:sz w:val="24"/>
          <w:szCs w:val="24"/>
        </w:rPr>
        <w:softHyphen/>
        <w:t>ческой формы заболевания, а также характера проводимой терапии.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Двадцать два из наблюдаемых нами больных ХГД (10 - ХАГ, 10 - ХАГ в фа</w:t>
      </w:r>
      <w:r>
        <w:rPr>
          <w:rFonts w:ascii="Times New Roman" w:hAnsi="Times New Roman" w:cs="Times New Roman"/>
          <w:sz w:val="24"/>
          <w:szCs w:val="24"/>
        </w:rPr>
        <w:softHyphen/>
        <w:t>зу цирроза, 2 - ХПГ) получали лишь базисную терапию. Морфологический диагноз заболевания был подтвержден у 18 больных из этой группы (8 - ХАГ, 8 - ХАГ и пе</w:t>
      </w:r>
      <w:r>
        <w:rPr>
          <w:rFonts w:ascii="Times New Roman" w:hAnsi="Times New Roman" w:cs="Times New Roman"/>
          <w:sz w:val="24"/>
          <w:szCs w:val="24"/>
        </w:rPr>
        <w:softHyphen/>
        <w:t>реходом в цирроз, 2 - ХПГ). 56 больных (30 - ХАГ, 23 - ХАГ и циррозом, 3 - ХПГ) получали курсы противовирусной или иммуномодулирующей терапии, из них мор</w:t>
      </w:r>
      <w:r>
        <w:rPr>
          <w:rFonts w:ascii="Times New Roman" w:hAnsi="Times New Roman" w:cs="Times New Roman"/>
          <w:sz w:val="24"/>
          <w:szCs w:val="24"/>
        </w:rPr>
        <w:softHyphen/>
        <w:t>фологически диагноз был подтвержден у 51 больного (у 28 был ХАГ, у 20 - ХАГ.Ц , у 3 - ХПГ).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Динамическое наблюдение за больными ХГД свидетельствует о том, что при различных формах болезни независимо от типа терапии течение заболева</w:t>
      </w:r>
      <w:r>
        <w:rPr>
          <w:rFonts w:ascii="Times New Roman" w:hAnsi="Times New Roman" w:cs="Times New Roman"/>
          <w:sz w:val="24"/>
          <w:szCs w:val="24"/>
        </w:rPr>
        <w:softHyphen/>
        <w:t>ния характеризуется длительным сохранением высокой активности процесса или имеет волнообразный характер с чередованием периодов ремиссии и обострения. У большинства больных в течение 5-6 лет наблюдения и более регистрируется стадия обострения процесса. У части больных, обычно после 3-4 года наблюде</w:t>
      </w:r>
      <w:r>
        <w:rPr>
          <w:rFonts w:ascii="Times New Roman" w:hAnsi="Times New Roman" w:cs="Times New Roman"/>
          <w:sz w:val="24"/>
          <w:szCs w:val="24"/>
        </w:rPr>
        <w:softHyphen/>
        <w:t>ния, отмечали возникновение ремиссий, которые, как правило, не были продолжи</w:t>
      </w:r>
      <w:r>
        <w:rPr>
          <w:rFonts w:ascii="Times New Roman" w:hAnsi="Times New Roman" w:cs="Times New Roman"/>
          <w:sz w:val="24"/>
          <w:szCs w:val="24"/>
        </w:rPr>
        <w:softHyphen/>
        <w:t>тельными и сменялись обострениями.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16 больных с морфологически подтвержденным диагнозом ХАГ и ХАГ с циррозом, получавших базисное лечение, состояние обострения отмечали у 75 - 80 % больных в течение первых 6 лет наблюдения. У 4 из 16 больных посто</w:t>
      </w:r>
      <w:r>
        <w:rPr>
          <w:rFonts w:ascii="Times New Roman" w:hAnsi="Times New Roman" w:cs="Times New Roman"/>
          <w:sz w:val="24"/>
          <w:szCs w:val="24"/>
        </w:rPr>
        <w:softHyphen/>
        <w:t>янно выраженную активность процесса (без наступления ремиссии) выявляли в течение 3-4 лет. У 9 больных в динамике процесса отмечали возникновение ре</w:t>
      </w:r>
      <w:r>
        <w:rPr>
          <w:rFonts w:ascii="Times New Roman" w:hAnsi="Times New Roman" w:cs="Times New Roman"/>
          <w:sz w:val="24"/>
          <w:szCs w:val="24"/>
        </w:rPr>
        <w:softHyphen/>
        <w:t>миссий, которые, однако, не были продолжительными и сменялись обострениями. Только у 2 из 16 больных продолжительность устойчивой ремиссии составила 3-4 года. Один больной с морфологически подтвержденным ХАГ.Ц и признаками ак</w:t>
      </w:r>
      <w:r>
        <w:rPr>
          <w:rFonts w:ascii="Times New Roman" w:hAnsi="Times New Roman" w:cs="Times New Roman"/>
          <w:sz w:val="24"/>
          <w:szCs w:val="24"/>
        </w:rPr>
        <w:softHyphen/>
        <w:t>тивной репликации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HBV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HDV,</w:t>
      </w:r>
      <w:r>
        <w:rPr>
          <w:rFonts w:ascii="Times New Roman" w:hAnsi="Times New Roman" w:cs="Times New Roman"/>
          <w:sz w:val="24"/>
          <w:szCs w:val="24"/>
        </w:rPr>
        <w:t xml:space="preserve"> имевший выраженный гепатолиенальный син</w:t>
      </w:r>
      <w:r>
        <w:rPr>
          <w:rFonts w:ascii="Times New Roman" w:hAnsi="Times New Roman" w:cs="Times New Roman"/>
          <w:sz w:val="24"/>
          <w:szCs w:val="24"/>
        </w:rPr>
        <w:softHyphen/>
        <w:t>дром, явления гиперспленизма и портальной гипертензии с асцитом, умер в воз</w:t>
      </w:r>
      <w:r>
        <w:rPr>
          <w:rFonts w:ascii="Times New Roman" w:hAnsi="Times New Roman" w:cs="Times New Roman"/>
          <w:sz w:val="24"/>
          <w:szCs w:val="24"/>
        </w:rPr>
        <w:softHyphen/>
        <w:t>расте 65 лет на 7-м году медицинского наблюдения в результате кровотечения из варикозно расширенных вен пищевода.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 Частота выявления обострении в динамике ХГД на фоне различной терапии.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134"/>
        <w:gridCol w:w="1275"/>
        <w:gridCol w:w="1276"/>
        <w:gridCol w:w="1276"/>
        <w:gridCol w:w="1276"/>
      </w:tblGrid>
      <w:tr w:rsidR="003E1D57">
        <w:trPr>
          <w:trHeight w:val="3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наблюдения (гг.)</w:t>
            </w:r>
          </w:p>
        </w:tc>
      </w:tr>
      <w:tr w:rsidR="003E1D57"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1D57"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БАЗИСНАЯ (16)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</w:t>
            </w:r>
          </w:p>
        </w:tc>
      </w:tr>
      <w:tr w:rsidR="003E1D57"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Т-АКТИВИН (10)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</w:tr>
      <w:tr w:rsidR="003E1D57"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ВИФЕРОН (14)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</w:tc>
      </w:tr>
      <w:tr w:rsidR="003E1D57">
        <w:trPr>
          <w:trHeight w:val="3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ВИФЕРОН и Т-АКТИВИН (32)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7/12</w:t>
            </w:r>
          </w:p>
        </w:tc>
      </w:tr>
    </w:tbl>
    <w:p w:rsidR="003E1D57" w:rsidRDefault="003E1D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из 48 больных с морфологически верифицированным диагнозом ХАГ и ХАГ.Ц получающих различные курсы противовирусной или иммуномо</w:t>
      </w:r>
      <w:r>
        <w:rPr>
          <w:rFonts w:ascii="Times New Roman" w:hAnsi="Times New Roman" w:cs="Times New Roman"/>
          <w:sz w:val="24"/>
          <w:szCs w:val="24"/>
        </w:rPr>
        <w:softHyphen/>
        <w:t>дулирующей терапии, состояния обострения выявлялись у 32 - 48 % в течение первых 1 - 5 лет наблюдения, у части больных - в течение всего наблюдения (до 6 лет и более). Треть больных имела признаки постоянно выраженной активности процесса (без ремиссий) в течение 3-7 лет наблюдения. У 33 больных в динами</w:t>
      </w:r>
      <w:r>
        <w:rPr>
          <w:rFonts w:ascii="Times New Roman" w:hAnsi="Times New Roman" w:cs="Times New Roman"/>
          <w:sz w:val="24"/>
          <w:szCs w:val="24"/>
        </w:rPr>
        <w:softHyphen/>
        <w:t>ке возникали непродолжительные ремиссии, сменяющиеся обострениями. У 15 больных можно было диагностировать устойчивую ремиссию продолжительно</w:t>
      </w:r>
      <w:r>
        <w:rPr>
          <w:rFonts w:ascii="Times New Roman" w:hAnsi="Times New Roman" w:cs="Times New Roman"/>
          <w:sz w:val="24"/>
          <w:szCs w:val="24"/>
        </w:rPr>
        <w:softHyphen/>
        <w:t>стью от 2 до 4 лет. Характер изменения активности хронического процесса в ди</w:t>
      </w:r>
      <w:r>
        <w:rPr>
          <w:rFonts w:ascii="Times New Roman" w:hAnsi="Times New Roman" w:cs="Times New Roman"/>
          <w:sz w:val="24"/>
          <w:szCs w:val="24"/>
        </w:rPr>
        <w:softHyphen/>
        <w:t>намике наблюдения у больных с ХАГ и ХАГ с циррозом, получающих различную терапию, отражен в табл. 3 и 4.</w:t>
      </w:r>
    </w:p>
    <w:p w:rsidR="003E1D57" w:rsidRDefault="0024505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 Частота выявления ремиссий в динамике ХГД на фоне различной терапии.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418"/>
        <w:gridCol w:w="1275"/>
        <w:gridCol w:w="1276"/>
        <w:gridCol w:w="1276"/>
        <w:gridCol w:w="1276"/>
      </w:tblGrid>
      <w:tr w:rsidR="003E1D57">
        <w:trPr>
          <w:trHeight w:val="3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77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наблюдения (гг.)</w:t>
            </w:r>
          </w:p>
        </w:tc>
      </w:tr>
      <w:tr w:rsidR="003E1D57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1D57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БАЗИСНАЯ (16)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10/14</w:t>
            </w:r>
          </w:p>
        </w:tc>
      </w:tr>
      <w:tr w:rsidR="003E1D57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Т-АКТИВИН(Ю)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</w:tr>
      <w:tr w:rsidR="003E1D57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ВИФЕРОН (14)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7/9</w:t>
            </w:r>
          </w:p>
        </w:tc>
      </w:tr>
      <w:tr w:rsidR="003E1D57">
        <w:trPr>
          <w:trHeight w:val="3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ВИФЕРОН и Т-АКТИВИН (32)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</w:t>
            </w:r>
          </w:p>
        </w:tc>
      </w:tr>
    </w:tbl>
    <w:p w:rsidR="003E1D57" w:rsidRDefault="003E1D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среди находившихся под нашим наблюдением 78 больных с ХГД, 22 - получали базисную терапию, 14 - виферон, 10 - иммуномодулирующую (Т-активин) и 32 - комбинированную терапию (виферон и Т-активин). Нами отме</w:t>
      </w:r>
      <w:r>
        <w:rPr>
          <w:rFonts w:ascii="Times New Roman" w:hAnsi="Times New Roman" w:cs="Times New Roman"/>
          <w:sz w:val="24"/>
          <w:szCs w:val="24"/>
        </w:rPr>
        <w:softHyphen/>
        <w:t>чено, что применение противовирусной терапии, и особенно в комбинации с иммуномодуляторами способно увеличить частоту возникновения ремиссий до 36-48% (25-29% - при базисной терапии).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клеточного иммунитета при ХГВ и ХГД.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показали исследования, при ХГВ и ХГД у больных постоянно обнаружи</w:t>
      </w:r>
      <w:r>
        <w:rPr>
          <w:rFonts w:ascii="Times New Roman" w:hAnsi="Times New Roman" w:cs="Times New Roman"/>
          <w:sz w:val="24"/>
          <w:szCs w:val="24"/>
        </w:rPr>
        <w:softHyphen/>
        <w:t>вается дефицит Т-лимфоцитов как в фазе обострения процесса, так и в стадию ремиссии. У больных с различными формами ХГ в стадии обострения удержива</w:t>
      </w:r>
      <w:r>
        <w:rPr>
          <w:rFonts w:ascii="Times New Roman" w:hAnsi="Times New Roman" w:cs="Times New Roman"/>
          <w:sz w:val="24"/>
          <w:szCs w:val="24"/>
        </w:rPr>
        <w:softHyphen/>
        <w:t>ется низкий и практически одинаковый уровень Т-лимфоцитов с колебаниями та</w:t>
      </w:r>
      <w:r>
        <w:rPr>
          <w:rFonts w:ascii="Times New Roman" w:hAnsi="Times New Roman" w:cs="Times New Roman"/>
          <w:sz w:val="24"/>
          <w:szCs w:val="24"/>
        </w:rPr>
        <w:softHyphen/>
        <w:t>кового от 38% до 40% с соответственно низкими значениями абсолютных показа</w:t>
      </w:r>
      <w:r>
        <w:rPr>
          <w:rFonts w:ascii="Times New Roman" w:hAnsi="Times New Roman" w:cs="Times New Roman"/>
          <w:sz w:val="24"/>
          <w:szCs w:val="24"/>
        </w:rPr>
        <w:softHyphen/>
        <w:t>телей.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основных показателей иммунного статуса у больных ХПГВ и ХПГД позволило установить стойкое снижение уровня иммунокомпетентных клеток как в периоде обострения, так и в периоде ремиссии, но в меньшей степени (табл.5 и 6). Это, по-видимому отражает иммунодефицит Т-клеточного типа. Снижение уровня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5. Показатели Т-клеточного иммунитета при хроническом гепатите В 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0"/>
        <w:gridCol w:w="1180"/>
        <w:gridCol w:w="1080"/>
        <w:gridCol w:w="1120"/>
        <w:gridCol w:w="1961"/>
        <w:gridCol w:w="2410"/>
      </w:tblGrid>
      <w:tr w:rsidR="003E1D57">
        <w:trPr>
          <w:trHeight w:val="62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сравнения</w:t>
            </w:r>
          </w:p>
        </w:tc>
      </w:tr>
      <w:tr w:rsidR="003E1D57">
        <w:trPr>
          <w:trHeight w:val="38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Обострение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Ремиссия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Обострение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57">
        <w:trPr>
          <w:trHeight w:val="18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Е-РОК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39,411,5***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45,4±1,0**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33.7±1,2***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42,4±1.0***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68.7±0,9</w:t>
            </w:r>
          </w:p>
        </w:tc>
      </w:tr>
      <w:tr w:rsidR="003E1D57">
        <w:trPr>
          <w:trHeight w:val="40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972,5±43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1056±62,5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939,4±70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1096±67,4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1776±102</w:t>
            </w:r>
          </w:p>
        </w:tc>
      </w:tr>
      <w:tr w:rsidR="003E1D57">
        <w:trPr>
          <w:trHeight w:val="18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Етфр-РОК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26,11±1,0***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31,2±1,4**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26.9±1,7***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31,0±1,5***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45,2±0,5</w:t>
            </w:r>
          </w:p>
        </w:tc>
      </w:tr>
      <w:tr w:rsidR="003E1D57">
        <w:trPr>
          <w:trHeight w:val="40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441,7±40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725,1±54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338,3±31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993,4±66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1449±116</w:t>
            </w:r>
          </w:p>
        </w:tc>
      </w:tr>
      <w:tr w:rsidR="003E1D57">
        <w:trPr>
          <w:trHeight w:val="18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Етфч-РОК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13.1±1,51*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15,1±1,1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13,7±1,17"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16,3±0,9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16.6±0,4</w:t>
            </w:r>
          </w:p>
        </w:tc>
      </w:tr>
      <w:tr w:rsidR="003E1D57">
        <w:trPr>
          <w:trHeight w:val="40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243,5±25,2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349,4±28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425,4±17,1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506,6±34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516,2±42.3</w:t>
            </w:r>
          </w:p>
        </w:tc>
      </w:tr>
      <w:tr w:rsidR="003E1D57">
        <w:trPr>
          <w:trHeight w:val="64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Етфр-РОК/ /Етфч-РОК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2,02±0,18*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2,39±0,08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1,93±0,23**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1,96±0,3*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2,71±0.4</w:t>
            </w:r>
          </w:p>
        </w:tc>
      </w:tr>
    </w:tbl>
    <w:p w:rsidR="003E1D57" w:rsidRDefault="003E1D5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1D57" w:rsidRDefault="0024505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6. Показатели Т-клеточного иммунитета при хроническом гепатите Д 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1134"/>
        <w:gridCol w:w="1134"/>
        <w:gridCol w:w="1134"/>
        <w:gridCol w:w="1257"/>
        <w:gridCol w:w="19"/>
        <w:gridCol w:w="1115"/>
        <w:gridCol w:w="19"/>
      </w:tblGrid>
      <w:tr w:rsidR="003E1D57">
        <w:trPr>
          <w:trHeight w:val="6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ХПГ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ХАГ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ХАГ, 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сравнения</w:t>
            </w:r>
          </w:p>
        </w:tc>
      </w:tr>
      <w:tr w:rsidR="003E1D57">
        <w:trPr>
          <w:gridAfter w:val="1"/>
          <w:wAfter w:w="19" w:type="dxa"/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Обострение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Обострение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Обострение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57">
        <w:trPr>
          <w:gridAfter w:val="1"/>
          <w:wAfter w:w="19" w:type="dxa"/>
          <w:trHeight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967.5±44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44.7±2.1** 1081±65.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38.2±1,7*** 946,4±71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46.3±3.1** 1092±67.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36.5±1.3*** 924.1±42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2.1** 1079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68.7±0.9 1776±102</w:t>
            </w:r>
          </w:p>
        </w:tc>
      </w:tr>
      <w:tr w:rsidR="003E1D57">
        <w:trPr>
          <w:gridAfter w:val="1"/>
          <w:wAfter w:w="19" w:type="dxa"/>
          <w:trHeight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Етфр-РОК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25.13±1.0*** 442.7±41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32.4±3.5** 723.5±59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343,7±34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30.111.6"' 623.5±67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440,7±39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623,5±56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45,2±0.5 1449±116</w:t>
            </w:r>
          </w:p>
        </w:tc>
      </w:tr>
      <w:tr w:rsidR="003E1D57">
        <w:trPr>
          <w:gridAfter w:val="1"/>
          <w:wAfter w:w="19" w:type="dxa"/>
          <w:trHeight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Етфч-РОК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13.211.54" 244,6±27.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15.6±1.0 351.4±30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13.3±1.12** 144,5±12,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16.411.0 509.7±61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11.6±1.29** 179,2132.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15.7±1.1 365,1±72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16,6±0,4 516,2±42.</w:t>
            </w:r>
          </w:p>
        </w:tc>
      </w:tr>
      <w:tr w:rsidR="003E1D57">
        <w:trPr>
          <w:gridAfter w:val="1"/>
          <w:wAfter w:w="19" w:type="dxa"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Етфр-РОК/ /Етфч-РОК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2.05±0.21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2.40±0.05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1.89±0,15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1.96±0.З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1.85±0.12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1,89±0.12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2,71±0.4</w:t>
            </w:r>
          </w:p>
        </w:tc>
      </w:tr>
    </w:tbl>
    <w:p w:rsidR="003E1D57" w:rsidRDefault="003E1D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числителе — процентное содержание (%), в знаменателе — абсолютное количество (кл/мкл).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*** - достоверность различий с контролем (р&lt;0,001) ** - достоверность различий с контролем (р&lt;0,05) * - достоверность различий с контролем (р&lt;0,02) Т-лимфоцитов в периферической крови при ХПГВ, так же как и при ХПГД, обу</w:t>
      </w:r>
      <w:r>
        <w:rPr>
          <w:rFonts w:ascii="Times New Roman" w:hAnsi="Times New Roman" w:cs="Times New Roman"/>
          <w:sz w:val="24"/>
          <w:szCs w:val="24"/>
        </w:rPr>
        <w:softHyphen/>
        <w:t>словлено уходом иммунокомпетентных клеток в пораженные ткани - печень и эн</w:t>
      </w:r>
      <w:r>
        <w:rPr>
          <w:rFonts w:ascii="Times New Roman" w:hAnsi="Times New Roman" w:cs="Times New Roman"/>
          <w:sz w:val="24"/>
          <w:szCs w:val="24"/>
        </w:rPr>
        <w:softHyphen/>
        <w:t>дотелии сосудов, а также синтезом иммунодепрессивных факторов и в результате этого, повышенным поступлением в кровоток незрелых форм иммуноцитов.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Т-клеточный иммунодефицит при ХАГВ в периоде обострения носил выра</w:t>
      </w:r>
      <w:r>
        <w:rPr>
          <w:rFonts w:ascii="Times New Roman" w:hAnsi="Times New Roman" w:cs="Times New Roman"/>
          <w:sz w:val="24"/>
          <w:szCs w:val="24"/>
        </w:rPr>
        <w:softHyphen/>
        <w:t>женную гипосупрессорную направленость. Это подтверждалось низким уровнем теофиллинчувствительных Е-РОК (13.7% ± 1,17;р&lt;0,05 ). Абсолютное содержание Етфч-РОК (425,4 кл/мкл ± 17,1;р&lt;0,05), также снижались в периоде обострения. В фазе ремиссии Т-супрессорный иммунодефицит приближался к норме (16,3%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j_ </w:t>
      </w:r>
      <w:r>
        <w:rPr>
          <w:rFonts w:ascii="Times New Roman" w:hAnsi="Times New Roman" w:cs="Times New Roman"/>
          <w:sz w:val="24"/>
          <w:szCs w:val="24"/>
        </w:rPr>
        <w:t>0,9; или 506.6 кл/мкл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.f</w:t>
      </w:r>
      <w:r>
        <w:rPr>
          <w:rFonts w:ascii="Times New Roman" w:hAnsi="Times New Roman" w:cs="Times New Roman"/>
          <w:sz w:val="24"/>
          <w:szCs w:val="24"/>
        </w:rPr>
        <w:t xml:space="preserve"> 34).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снижения Етфч-РОК, у больных ХАГВ, выявлялось значительное снижение Етфр-РОК как в периоде обострения (26,9% + 1,7; р&lt;0,001), так и в пе</w:t>
      </w:r>
      <w:r>
        <w:rPr>
          <w:rFonts w:ascii="Times New Roman" w:hAnsi="Times New Roman" w:cs="Times New Roman"/>
          <w:sz w:val="24"/>
          <w:szCs w:val="24"/>
        </w:rPr>
        <w:softHyphen/>
        <w:t>риоде ремиссии (31,%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1,5;p&lt;0,001),</w:t>
      </w:r>
      <w:r>
        <w:rPr>
          <w:rFonts w:ascii="Times New Roman" w:hAnsi="Times New Roman" w:cs="Times New Roman"/>
          <w:sz w:val="24"/>
          <w:szCs w:val="24"/>
        </w:rPr>
        <w:t xml:space="preserve"> идентифицируемых как Т-лимфоциты, обла</w:t>
      </w:r>
      <w:r>
        <w:rPr>
          <w:rFonts w:ascii="Times New Roman" w:hAnsi="Times New Roman" w:cs="Times New Roman"/>
          <w:sz w:val="24"/>
          <w:szCs w:val="24"/>
        </w:rPr>
        <w:softHyphen/>
        <w:t>дающие преимущественно хелперной активностью. Наибольшее снижение Етфр-РОК, особенно абсолютного содержания этих иммуноцитов (338,3 кл/мкл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± 31), от</w:t>
      </w:r>
      <w:r>
        <w:rPr>
          <w:rFonts w:ascii="Times New Roman" w:hAnsi="Times New Roman" w:cs="Times New Roman"/>
          <w:sz w:val="24"/>
          <w:szCs w:val="24"/>
        </w:rPr>
        <w:softHyphen/>
        <w:t>мечалось при обострении процесса. Хелрено - супрессорный коэффициент в пе</w:t>
      </w:r>
      <w:r>
        <w:rPr>
          <w:rFonts w:ascii="Times New Roman" w:hAnsi="Times New Roman" w:cs="Times New Roman"/>
          <w:sz w:val="24"/>
          <w:szCs w:val="24"/>
        </w:rPr>
        <w:softHyphen/>
        <w:t>риоде обострения был также снижен (1,93 ± 0,23; р&lt;0,05). Тенденция к нормали</w:t>
      </w:r>
      <w:r>
        <w:rPr>
          <w:rFonts w:ascii="Times New Roman" w:hAnsi="Times New Roman" w:cs="Times New Roman"/>
          <w:sz w:val="24"/>
          <w:szCs w:val="24"/>
        </w:rPr>
        <w:softHyphen/>
        <w:t>зации коэффициента Етр-РОК/ЕтчРОК в период ремиссии (1,96 ± 0,3; р&lt;0,05) сви</w:t>
      </w:r>
      <w:r>
        <w:rPr>
          <w:rFonts w:ascii="Times New Roman" w:hAnsi="Times New Roman" w:cs="Times New Roman"/>
          <w:sz w:val="24"/>
          <w:szCs w:val="24"/>
        </w:rPr>
        <w:softHyphen/>
        <w:t>детельствовала о стабилизации распределения иммуннорегуляторных субпопу</w:t>
      </w:r>
      <w:r>
        <w:rPr>
          <w:rFonts w:ascii="Times New Roman" w:hAnsi="Times New Roman" w:cs="Times New Roman"/>
          <w:sz w:val="24"/>
          <w:szCs w:val="24"/>
        </w:rPr>
        <w:softHyphen/>
        <w:t>ляций и отражала адекватную направленность указанных сдвигов.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Т-клеточный иммунодефицит у больных ХАГД в периоде обострения носил выраженную гипосупрессорную направленость. Это подтверждалось низким уров</w:t>
      </w:r>
      <w:r>
        <w:rPr>
          <w:rFonts w:ascii="Times New Roman" w:hAnsi="Times New Roman" w:cs="Times New Roman"/>
          <w:sz w:val="24"/>
          <w:szCs w:val="24"/>
        </w:rPr>
        <w:softHyphen/>
        <w:t>нем теофиллинчувствительных Е-РОК. Так, абсолютное содержание Етч-РОК (144,5 кл/мкл ± 12,7; р&lt;0,05), так же как и процентное содержание (13,3% + 1,12) снижались в периоде обострения В фазе ремиссии Т-супрессорный иммуноде</w:t>
      </w:r>
      <w:r>
        <w:rPr>
          <w:rFonts w:ascii="Times New Roman" w:hAnsi="Times New Roman" w:cs="Times New Roman"/>
          <w:sz w:val="24"/>
          <w:szCs w:val="24"/>
        </w:rPr>
        <w:softHyphen/>
        <w:t>фицит нормализовался (16,4% ± 1,0: 509,7 кл/мкл ± 61). что можно объяснить зна</w:t>
      </w:r>
      <w:r>
        <w:rPr>
          <w:rFonts w:ascii="Times New Roman" w:hAnsi="Times New Roman" w:cs="Times New Roman"/>
          <w:sz w:val="24"/>
          <w:szCs w:val="24"/>
        </w:rPr>
        <w:softHyphen/>
        <w:t>чительным количеством больных из этой группы, получивших противовирусную терапию. Следует заметить, что после прекращения противовирусного лечения средние показатели Е-РОК вновь проявили тенденцию к снижению.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снижение Етфр-РОК у больных ХАГД (25,8% ± 1,7; р&lt;0,001), особенно абсолютного содержания этих иммуноцитов (343,7 кл/мкл ± 34), отмеча</w:t>
      </w:r>
      <w:r>
        <w:rPr>
          <w:rFonts w:ascii="Times New Roman" w:hAnsi="Times New Roman" w:cs="Times New Roman"/>
          <w:sz w:val="24"/>
          <w:szCs w:val="24"/>
        </w:rPr>
        <w:softHyphen/>
        <w:t>лось при обострении процесса. В периоде ремиссии хелперный дефицит сохра</w:t>
      </w:r>
      <w:r>
        <w:rPr>
          <w:rFonts w:ascii="Times New Roman" w:hAnsi="Times New Roman" w:cs="Times New Roman"/>
          <w:sz w:val="24"/>
          <w:szCs w:val="24"/>
        </w:rPr>
        <w:softHyphen/>
        <w:t>нялся (30,1% ± 1,6: р&lt;0,05). Абсолютное количество составило - 623,5 кл/мкл ± 67). Нормализация коэффициента Етр-РОК/ЕтчРОК в этот период (1,96 ± 0,3) сви</w:t>
      </w:r>
      <w:r>
        <w:rPr>
          <w:rFonts w:ascii="Times New Roman" w:hAnsi="Times New Roman" w:cs="Times New Roman"/>
          <w:sz w:val="24"/>
          <w:szCs w:val="24"/>
        </w:rPr>
        <w:softHyphen/>
        <w:t>детельствовала о неполной стабилизации распределения иммунорегуляторных субпопуляций.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анализ состояния иммунорегуляторных субпопуляций пока</w:t>
      </w:r>
      <w:r>
        <w:rPr>
          <w:rFonts w:ascii="Times New Roman" w:hAnsi="Times New Roman" w:cs="Times New Roman"/>
          <w:sz w:val="24"/>
          <w:szCs w:val="24"/>
        </w:rPr>
        <w:softHyphen/>
        <w:t>зал, что иммунодефицит у больных ХГВ и ХГД носит гипосупрессорный характер. Определение уровня теофиллинрезистентных хелперов при ХГ выявило досто</w:t>
      </w:r>
      <w:r>
        <w:rPr>
          <w:rFonts w:ascii="Times New Roman" w:hAnsi="Times New Roman" w:cs="Times New Roman"/>
          <w:sz w:val="24"/>
          <w:szCs w:val="24"/>
        </w:rPr>
        <w:softHyphen/>
        <w:t>верное снижение их содержания в периоде обострения процесса (р&lt;0,001) с от</w:t>
      </w:r>
      <w:r>
        <w:rPr>
          <w:rFonts w:ascii="Times New Roman" w:hAnsi="Times New Roman" w:cs="Times New Roman"/>
          <w:sz w:val="24"/>
          <w:szCs w:val="24"/>
        </w:rPr>
        <w:softHyphen/>
        <w:t>четливой тенденцией к повышению в периоде ремиссии (р&lt;0.05). Показатели гуморального иммунитета.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специфических антител против антигенов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HBV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HDV</w:t>
      </w:r>
      <w:r>
        <w:rPr>
          <w:rFonts w:ascii="Times New Roman" w:hAnsi="Times New Roman" w:cs="Times New Roman"/>
          <w:sz w:val="24"/>
          <w:szCs w:val="24"/>
        </w:rPr>
        <w:t xml:space="preserve"> зависит от функционального состояния В-клеток и их количественного содержания как попу</w:t>
      </w:r>
      <w:r>
        <w:rPr>
          <w:rFonts w:ascii="Times New Roman" w:hAnsi="Times New Roman" w:cs="Times New Roman"/>
          <w:sz w:val="24"/>
          <w:szCs w:val="24"/>
        </w:rPr>
        <w:softHyphen/>
        <w:t>ляции иммунокомпетентных клеток.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нашим данным, содержание В-клеток у больных с ХГВ и ХГД (как в пе</w:t>
      </w:r>
      <w:r>
        <w:rPr>
          <w:rFonts w:ascii="Times New Roman" w:hAnsi="Times New Roman" w:cs="Times New Roman"/>
          <w:sz w:val="24"/>
          <w:szCs w:val="24"/>
        </w:rPr>
        <w:softHyphen/>
        <w:t>риоде обострения, так и в периоде ремиссии) не подвержено значительным изме</w:t>
      </w:r>
      <w:r>
        <w:rPr>
          <w:rFonts w:ascii="Times New Roman" w:hAnsi="Times New Roman" w:cs="Times New Roman"/>
          <w:sz w:val="24"/>
          <w:szCs w:val="24"/>
        </w:rPr>
        <w:softHyphen/>
        <w:t>нениям и находится в пределах нормы. В фазе ремиссии у больных с ХГВ и ХГД отмечается достоверное снижение абсолютного содержания В-клеток (р&lt;0,05), по сравнению с таковыми у здоровых пациентов (табл.7 и табл.8).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больных ХАГВ в периоде обострения значение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IgA</w:t>
      </w:r>
      <w:r>
        <w:rPr>
          <w:rFonts w:ascii="Times New Roman" w:hAnsi="Times New Roman" w:cs="Times New Roman"/>
          <w:sz w:val="24"/>
          <w:szCs w:val="24"/>
        </w:rPr>
        <w:t xml:space="preserve"> сыворотке крови со</w:t>
      </w:r>
      <w:r>
        <w:rPr>
          <w:rFonts w:ascii="Times New Roman" w:hAnsi="Times New Roman" w:cs="Times New Roman"/>
          <w:sz w:val="24"/>
          <w:szCs w:val="24"/>
        </w:rPr>
        <w:softHyphen/>
        <w:t>ставило 129,7 мг%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± 2,9: (при норме 131 мг% ± 15); уровень 1дМ - 125,7 мг% ± 6,2. Только лишь уровень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IgG</w:t>
      </w:r>
      <w:r>
        <w:rPr>
          <w:rFonts w:ascii="Times New Roman" w:hAnsi="Times New Roman" w:cs="Times New Roman"/>
          <w:sz w:val="24"/>
          <w:szCs w:val="24"/>
        </w:rPr>
        <w:t xml:space="preserve"> (1522,9 мг% ± 12,0; р&lt;0,02) достоверно отличался от контрольных показателей, в периоде ремиссии зарегистрировано снижение этого показателя до 1380 мг% ± 22,0. Уровень циркулирующих иммунных комплексов также был достоверно повышен и достигал в периоде обострения ХАГВ 0,45 У.Ед.± 0,02(р&lt;0,05).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больных ХАГД в периоде обострения значение IgA сыворотке крови со</w:t>
      </w:r>
      <w:r>
        <w:rPr>
          <w:rFonts w:ascii="Times New Roman" w:hAnsi="Times New Roman" w:cs="Times New Roman"/>
          <w:sz w:val="24"/>
          <w:szCs w:val="24"/>
        </w:rPr>
        <w:softHyphen/>
        <w:t>ставило 129,6 мг%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± 2,3; (при норме 131мг% ± 15); уровень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IgM</w:t>
      </w:r>
      <w:r>
        <w:rPr>
          <w:rFonts w:ascii="Times New Roman" w:hAnsi="Times New Roman" w:cs="Times New Roman"/>
          <w:sz w:val="24"/>
          <w:szCs w:val="24"/>
        </w:rPr>
        <w:t xml:space="preserve"> - 125,6 мг%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6,1. </w:t>
      </w:r>
      <w:r>
        <w:rPr>
          <w:rFonts w:ascii="Times New Roman" w:hAnsi="Times New Roman" w:cs="Times New Roman"/>
          <w:sz w:val="24"/>
          <w:szCs w:val="24"/>
        </w:rPr>
        <w:t>Лишь уровень IgG (1521,6 мг% + 37; р&lt;0,02) достоверно отличался от контроль</w:t>
      </w:r>
      <w:r>
        <w:rPr>
          <w:rFonts w:ascii="Times New Roman" w:hAnsi="Times New Roman" w:cs="Times New Roman"/>
          <w:sz w:val="24"/>
          <w:szCs w:val="24"/>
        </w:rPr>
        <w:softHyphen/>
        <w:t>ных показателей. В периоде ремиссии зарегистрировано снижение этого показа</w:t>
      </w:r>
      <w:r>
        <w:rPr>
          <w:rFonts w:ascii="Times New Roman" w:hAnsi="Times New Roman" w:cs="Times New Roman"/>
          <w:sz w:val="24"/>
          <w:szCs w:val="24"/>
        </w:rPr>
        <w:softHyphen/>
        <w:t>теля до 1387 мг%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± 31,0. Уровень циркулирующих иммунных комплексов также был достоверно повышен и достигал в периоде обострения ХАГД 0,44 ± 0,02 (р&lt;0,05), а в периоде ремиссии - 0,31 У.Ед. ± 0,01.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при ХГВ и ХГД отмечается увеличение продукции этих иммуноглобулинов, причем тем больше, чем выше активность процесса. Иммуноглобулины класса А не имели существенных изменений, уровень IgM изменялся не</w:t>
      </w:r>
      <w:r>
        <w:rPr>
          <w:rFonts w:ascii="Times New Roman" w:hAnsi="Times New Roman" w:cs="Times New Roman"/>
          <w:sz w:val="24"/>
          <w:szCs w:val="24"/>
        </w:rPr>
        <w:softHyphen/>
        <w:t>значительно. Уровень иммуноглобулинов класса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G,</w:t>
      </w:r>
      <w:r>
        <w:rPr>
          <w:rFonts w:ascii="Times New Roman" w:hAnsi="Times New Roman" w:cs="Times New Roman"/>
          <w:sz w:val="24"/>
          <w:szCs w:val="24"/>
        </w:rPr>
        <w:t xml:space="preserve"> так же как и уровень циркулирующих иммунных комплексов при всех формах изученных хронических вирусных гепатитов был значительно повышен (табл.7 и табл.8).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7. Показатели гуморального иммунитета при хроническом гепатите В.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0"/>
        <w:gridCol w:w="1100"/>
        <w:gridCol w:w="1100"/>
        <w:gridCol w:w="1843"/>
        <w:gridCol w:w="2127"/>
        <w:gridCol w:w="2693"/>
      </w:tblGrid>
      <w:tr w:rsidR="003E1D57">
        <w:trPr>
          <w:trHeight w:val="60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ХПГ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</w:p>
        </w:tc>
      </w:tr>
      <w:tr w:rsidR="003E1D57">
        <w:trPr>
          <w:trHeight w:val="30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Обострение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Обострение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Ремиссия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57">
        <w:trPr>
          <w:trHeight w:val="48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ЕАС-РОК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14,14±0.4 384,7±34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14,5±0,24 361,6±111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14.64±0.6 341,7±35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14.1±0.24 331,6±21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13,9±0,8 355,4±28,2</w:t>
            </w:r>
          </w:p>
        </w:tc>
      </w:tr>
      <w:tr w:rsidR="003E1D57">
        <w:trPr>
          <w:trHeight w:val="46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1дА,мг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119,7±2,9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123,0±5,1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129,7±2,9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121,0±6,3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131±15</w:t>
            </w:r>
          </w:p>
        </w:tc>
      </w:tr>
      <w:tr w:rsidR="003E1D57">
        <w:trPr>
          <w:trHeight w:val="48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1дМ, мг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115,7±5,2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120,1±5,3*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125.7±6.2*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129,1±9,1*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± 8</w:t>
            </w:r>
          </w:p>
        </w:tc>
      </w:tr>
      <w:tr w:rsidR="003E1D57">
        <w:trPr>
          <w:trHeight w:val="48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1513,9±14**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1412±23**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1522,9±12**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1380±22**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1139±37</w:t>
            </w:r>
          </w:p>
        </w:tc>
      </w:tr>
      <w:tr w:rsidR="003E1D57">
        <w:trPr>
          <w:trHeight w:val="50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ЦИК, У.Ед.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0,38±0,01**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0,29±0,02**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0,45±0,02**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0.03**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</w:tr>
    </w:tbl>
    <w:p w:rsidR="003E1D57" w:rsidRDefault="003E1D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8. Показатели гуморального иммунитета при хроническом гепатите Д.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0"/>
        <w:gridCol w:w="900"/>
        <w:gridCol w:w="760"/>
        <w:gridCol w:w="880"/>
        <w:gridCol w:w="760"/>
        <w:gridCol w:w="900"/>
        <w:gridCol w:w="800"/>
        <w:gridCol w:w="4063"/>
      </w:tblGrid>
      <w:tr w:rsidR="003E1D57">
        <w:trPr>
          <w:trHeight w:val="7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ХПГ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ХАГ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ХАГ. Ц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сравнения</w:t>
            </w:r>
          </w:p>
        </w:tc>
      </w:tr>
      <w:tr w:rsidR="003E1D57">
        <w:trPr>
          <w:trHeight w:val="40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Обострение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Ремиссия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Обострение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Ремиссия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Обострение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Ремиссия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57" w:rsidRDefault="003E1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57">
        <w:trPr>
          <w:trHeight w:val="76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ЕАС-РОК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13.09±0.З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379,2±33,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14.9±0.23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361,5±10.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13.61±0.6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340.7±31,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14.0±0.23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331.3±20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14,14±0,6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361,3±44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14,0±0.12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349.5±45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13.9±0.8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355,4±28,2</w:t>
            </w:r>
          </w:p>
        </w:tc>
      </w:tr>
      <w:tr w:rsidR="003E1D57">
        <w:trPr>
          <w:trHeight w:val="38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IgА,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116,7±2,4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122,0±5,0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129.6±2.3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121,1±6,1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119,6±3,8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123,2±4,2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131±15</w:t>
            </w:r>
          </w:p>
        </w:tc>
      </w:tr>
      <w:tr w:rsidR="003E1D57">
        <w:trPr>
          <w:trHeight w:val="40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114.5±5,1*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119,1±5,0*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125,6±6,1*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9,0*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119,6±7,1*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125,6±4,9*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97±8</w:t>
            </w:r>
          </w:p>
        </w:tc>
      </w:tr>
      <w:tr w:rsidR="003E1D57">
        <w:trPr>
          <w:trHeight w:val="38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IgG,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1511,9±31*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1409±21*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1521,6±37*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1387±31*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1544,7±22**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1492±32**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1139±37</w:t>
            </w:r>
          </w:p>
        </w:tc>
      </w:tr>
      <w:tr w:rsidR="003E1D57">
        <w:trPr>
          <w:trHeight w:val="4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ЦИК, У.Ед.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0,38±0,02**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0.28±0.02**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0.44±0,01**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0,31±0.02**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0,66±0.02**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0,42±0,03**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57" w:rsidRDefault="002450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</w:tr>
    </w:tbl>
    <w:p w:rsidR="003E1D57" w:rsidRDefault="003E1D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*** - достоверность различий с контролем (р&lt;0,001) ** - достоверность различий с контролем (р&lt;0,05) * - достоверность различий с контролем (р&lt;0,02)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Резюмируя вышеизложенное, можно заключить, что при всех формах хро</w:t>
      </w:r>
      <w:r>
        <w:rPr>
          <w:rFonts w:ascii="Times New Roman" w:hAnsi="Times New Roman" w:cs="Times New Roman"/>
          <w:sz w:val="24"/>
          <w:szCs w:val="24"/>
        </w:rPr>
        <w:softHyphen/>
        <w:t>нических вирусных гепатитов В и Д регистрируются однотипные нарушения в им</w:t>
      </w:r>
      <w:r>
        <w:rPr>
          <w:rFonts w:ascii="Times New Roman" w:hAnsi="Times New Roman" w:cs="Times New Roman"/>
          <w:sz w:val="24"/>
          <w:szCs w:val="24"/>
        </w:rPr>
        <w:softHyphen/>
        <w:t>мунном статусе. Они отличаются стойкостью и зависят от клинической стадии про</w:t>
      </w:r>
      <w:r>
        <w:rPr>
          <w:rFonts w:ascii="Times New Roman" w:hAnsi="Times New Roman" w:cs="Times New Roman"/>
          <w:sz w:val="24"/>
          <w:szCs w:val="24"/>
        </w:rPr>
        <w:softHyphen/>
        <w:t>цесса, от глубины поражения печени и длительности заболевания. Закономерно, в период уменьшения активности процесса или в периоде стойкой ремиссии ХГВ и ХГД иммунологические сдвиги имеют позитивную обратную динамику, однако в редком случае достигая нормальных показателей, присущих здоровому человеку. Иммунологические сдвиги позволяют характеризовать ХГВ и ХГД как иммунопатологический процесс, при котором по мере нарастания глубины поражения печени от ХПГ к ХАГ и циррозу нарастает глубина иммунодефицита.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проведенных исследований пациентов с ХГВ и ХГД выявили достоверное снижение показателей функционального состояния мононуклеарных фагоцитов, системы комлемента и интерфероногенеза. У больных ХАГВ и ХАГД отмечалась значительная депрессия макрофагального звена в тесте "кожного ок</w:t>
      </w:r>
      <w:r>
        <w:rPr>
          <w:rFonts w:ascii="Times New Roman" w:hAnsi="Times New Roman" w:cs="Times New Roman"/>
          <w:sz w:val="24"/>
          <w:szCs w:val="24"/>
        </w:rPr>
        <w:softHyphen/>
        <w:t>на". В зоне воспаления постоянно выявлялся дефицит выхода макрофагов, соста</w:t>
      </w:r>
      <w:r>
        <w:rPr>
          <w:rFonts w:ascii="Times New Roman" w:hAnsi="Times New Roman" w:cs="Times New Roman"/>
          <w:sz w:val="24"/>
          <w:szCs w:val="24"/>
        </w:rPr>
        <w:softHyphen/>
        <w:t>вивший в периоде обострения 1/3 от такового в контрольной группе, а в периоде ремиссии - отмечалось достоверное повышение, однако не до нормы уровня мак</w:t>
      </w:r>
      <w:r>
        <w:rPr>
          <w:rFonts w:ascii="Times New Roman" w:hAnsi="Times New Roman" w:cs="Times New Roman"/>
          <w:sz w:val="24"/>
          <w:szCs w:val="24"/>
        </w:rPr>
        <w:softHyphen/>
        <w:t>рофагов. Так, у больных с ХАГВ средние величины хемотаксиса составили 24,1±10,7 %, (при норме 75±1,1%), р&lt; 0,001. В группе больных с ХАГД хемотаксис мак</w:t>
      </w:r>
      <w:r>
        <w:rPr>
          <w:rFonts w:ascii="Times New Roman" w:hAnsi="Times New Roman" w:cs="Times New Roman"/>
          <w:sz w:val="24"/>
          <w:szCs w:val="24"/>
        </w:rPr>
        <w:softHyphen/>
        <w:t>рофагов снижался до весьма низких цифр и составлял 11,3±0,6 % (р&lt;0,001). В макрофагах у больных ХГВ выявлялись глубокие морфологические изменения. Так, в периоде обострения среди клеточных элементов экссудата в "кожном окне" в значительном количестве присутствовали деградированные формы, отмечалось много экссудата.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уровня ЦИК выявило повышение их концентрации при всех этиологических типах хронических вирусных гепатитов, и особенно значительно в периоде обострения заболевания. Высокий уровень ЦИК имел отчетливый парал</w:t>
      </w:r>
      <w:r>
        <w:rPr>
          <w:rFonts w:ascii="Times New Roman" w:hAnsi="Times New Roman" w:cs="Times New Roman"/>
          <w:sz w:val="24"/>
          <w:szCs w:val="24"/>
        </w:rPr>
        <w:softHyphen/>
        <w:t>лелизм со степенью депрессии Т-клеточного и макрофагального звеньев иммун</w:t>
      </w:r>
      <w:r>
        <w:rPr>
          <w:rFonts w:ascii="Times New Roman" w:hAnsi="Times New Roman" w:cs="Times New Roman"/>
          <w:sz w:val="24"/>
          <w:szCs w:val="24"/>
        </w:rPr>
        <w:softHyphen/>
        <w:t>ного ответа. Значительное повышение концентрации ЦИК свидетельствует о воз</w:t>
      </w:r>
      <w:r>
        <w:rPr>
          <w:rFonts w:ascii="Times New Roman" w:hAnsi="Times New Roman" w:cs="Times New Roman"/>
          <w:sz w:val="24"/>
          <w:szCs w:val="24"/>
        </w:rPr>
        <w:softHyphen/>
        <w:t>можном поглощении специфических антител ЦИКами Это отражает блокаду им</w:t>
      </w:r>
      <w:r>
        <w:rPr>
          <w:rFonts w:ascii="Times New Roman" w:hAnsi="Times New Roman" w:cs="Times New Roman"/>
          <w:sz w:val="24"/>
          <w:szCs w:val="24"/>
        </w:rPr>
        <w:softHyphen/>
        <w:t>мунными комплексами рецепторов иммуноглобулинсинтезирующих клеток и ком</w:t>
      </w:r>
      <w:r>
        <w:rPr>
          <w:rFonts w:ascii="Times New Roman" w:hAnsi="Times New Roman" w:cs="Times New Roman"/>
          <w:sz w:val="24"/>
          <w:szCs w:val="24"/>
        </w:rPr>
        <w:softHyphen/>
        <w:t>племента, что способствует персистенции НВ-вируса и поддержанию хроническо</w:t>
      </w:r>
      <w:r>
        <w:rPr>
          <w:rFonts w:ascii="Times New Roman" w:hAnsi="Times New Roman" w:cs="Times New Roman"/>
          <w:sz w:val="24"/>
          <w:szCs w:val="24"/>
        </w:rPr>
        <w:softHyphen/>
        <w:t>го процесса в печени.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5H у больных с ХАГВ и ХАГД составил в периоде обострения — 5,3±3,4, при норме 20,0 ± 5,4 позитивно окрашенных клеток, (р &lt;0,05). У больных с ХАГ Ц Активность 5Н снижалась еще более значительно и документировалась 2,9± 0,6 позитивно окрашенных клеток (р&lt;0,02).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системы комплемента свидетельствовали о снижении активно</w:t>
      </w:r>
      <w:r>
        <w:rPr>
          <w:rFonts w:ascii="Times New Roman" w:hAnsi="Times New Roman" w:cs="Times New Roman"/>
          <w:sz w:val="24"/>
          <w:szCs w:val="24"/>
        </w:rPr>
        <w:softHyphen/>
        <w:t>сти основных ее компонентов - СЗ и С4, участвующих непосредственно в процес</w:t>
      </w:r>
      <w:r>
        <w:rPr>
          <w:rFonts w:ascii="Times New Roman" w:hAnsi="Times New Roman" w:cs="Times New Roman"/>
          <w:sz w:val="24"/>
          <w:szCs w:val="24"/>
        </w:rPr>
        <w:softHyphen/>
        <w:t>се фагоцитоза. Уровень СЗ компонента составил 36,1 ± 4,0 , при норме 64,0 ± 9 мг/100 мл (р&lt;0,001), а для С4 - 16,4 ± 5,6 (при норме 20 ± 6,3 мг/100 мл) (р&lt;0,001). Полученные нами данные свидетельствует о выраженной депрессии функцио</w:t>
      </w:r>
      <w:r>
        <w:rPr>
          <w:rFonts w:ascii="Times New Roman" w:hAnsi="Times New Roman" w:cs="Times New Roman"/>
          <w:sz w:val="24"/>
          <w:szCs w:val="24"/>
        </w:rPr>
        <w:softHyphen/>
        <w:t>нального состояния макрофагов. Это сочетается с неполноценностью главных эффекторов гуморального звена фагоцитарной системы — системы комплемента, а также интерфероногенеза.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обследовании интерферонового статуса больных с ХАГВ и ХАГД выяв</w:t>
      </w:r>
      <w:r>
        <w:rPr>
          <w:rFonts w:ascii="Times New Roman" w:hAnsi="Times New Roman" w:cs="Times New Roman"/>
          <w:sz w:val="24"/>
          <w:szCs w:val="24"/>
        </w:rPr>
        <w:softHyphen/>
        <w:t>лялось снижение показателей альфа и гамма - интерферонов, Показатели альфа-интерферона составили — 5,6 ± 0,27 ЕД, при норме 7,7 ± 0,35 ЕД (р&lt;0,05), а для гамма-интерферона 4,2 ± 0,22, при норме 6,3 ± 0,51 ЕД (р &lt; 0,05). Полученные данные свидетельствует о неполноценности главных эффекторов гуморального звена фагоцитарной системы у больных ХГВ и ХАГД - комплемента и интерферо</w:t>
      </w:r>
      <w:r>
        <w:rPr>
          <w:rFonts w:ascii="Times New Roman" w:hAnsi="Times New Roman" w:cs="Times New Roman"/>
          <w:sz w:val="24"/>
          <w:szCs w:val="24"/>
        </w:rPr>
        <w:softHyphen/>
        <w:t>ногенеза, Выявленные нами недостаточность системы интерферона и функ</w:t>
      </w:r>
      <w:r>
        <w:rPr>
          <w:rFonts w:ascii="Times New Roman" w:hAnsi="Times New Roman" w:cs="Times New Roman"/>
          <w:sz w:val="24"/>
          <w:szCs w:val="24"/>
        </w:rPr>
        <w:softHyphen/>
        <w:t>циональная неполноценность системы мононуклеарных фагоцитов послужила основанием для назначения виферона в качестве терапевтического средства у больных ХГВ и ХГД.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влиянием виферона наблюдались положительные изменения пока</w:t>
      </w:r>
      <w:r>
        <w:rPr>
          <w:rFonts w:ascii="Times New Roman" w:hAnsi="Times New Roman" w:cs="Times New Roman"/>
          <w:sz w:val="24"/>
          <w:szCs w:val="24"/>
        </w:rPr>
        <w:softHyphen/>
        <w:t>зателей клеточного и гуморального иммунитета. Дефицит общего количества Т-клеток и иммунорегуляторный дисбаланс, регистрируемый до начала лече</w:t>
      </w:r>
      <w:r>
        <w:rPr>
          <w:rFonts w:ascii="Times New Roman" w:hAnsi="Times New Roman" w:cs="Times New Roman"/>
          <w:sz w:val="24"/>
          <w:szCs w:val="24"/>
        </w:rPr>
        <w:softHyphen/>
        <w:t>ния, значительно уменьшился по окончании терапии. Значительно улучшились также и показатели ЦИК: до и после проведенной терапии таковые были в 3 раза выше показателей нормы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 у больных группы сравнения, находящихся только на ба</w:t>
      </w:r>
      <w:r>
        <w:rPr>
          <w:rFonts w:ascii="Times New Roman" w:hAnsi="Times New Roman" w:cs="Times New Roman"/>
          <w:sz w:val="24"/>
          <w:szCs w:val="24"/>
        </w:rPr>
        <w:softHyphen/>
        <w:t>зисной терапии, ремиссии хронического гепатита наблюдалось в 2 раза реже. Показатели клиники и биохимии свидетельствовали о продолжающемся обост</w:t>
      </w:r>
      <w:r>
        <w:rPr>
          <w:rFonts w:ascii="Times New Roman" w:hAnsi="Times New Roman" w:cs="Times New Roman"/>
          <w:sz w:val="24"/>
          <w:szCs w:val="24"/>
        </w:rPr>
        <w:softHyphen/>
        <w:t>рении. На этом фоне низкими были величины клеточного иммунитета и депрессированы макрофаги. У всех больных, леченных и нелеченных интерфероном продолжали выявляться антитела к маркерам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HBV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HDV.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Хронический вирусный гепатит В у взрослых характеризуются, как правило, отсутствием жалоб и умеренной гепатомегалией (85%) умеренной спленомегалией  (38%)  слабовыраженным  цитолитическим  синдромом (повышение АлАТ в 95% случаев). Результаты комплексного исследования по</w:t>
      </w:r>
      <w:r>
        <w:rPr>
          <w:rFonts w:ascii="Times New Roman" w:hAnsi="Times New Roman" w:cs="Times New Roman"/>
          <w:sz w:val="24"/>
          <w:szCs w:val="24"/>
        </w:rPr>
        <w:softHyphen/>
        <w:t>зволяют установить признаки хронического персистирующего гепатита в 48,7% случаев, и хронического активного гепатита в 51,3% случаев.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Хронический вирусный гепатит Д, в отличии от гепатита В, характери</w:t>
      </w:r>
      <w:r>
        <w:rPr>
          <w:rFonts w:ascii="Times New Roman" w:hAnsi="Times New Roman" w:cs="Times New Roman"/>
          <w:sz w:val="24"/>
          <w:szCs w:val="24"/>
        </w:rPr>
        <w:softHyphen/>
        <w:t>зуется более часто встречающейся умеренной гепатомегалией (95,2 % случа</w:t>
      </w:r>
      <w:r>
        <w:rPr>
          <w:rFonts w:ascii="Times New Roman" w:hAnsi="Times New Roman" w:cs="Times New Roman"/>
          <w:sz w:val="24"/>
          <w:szCs w:val="24"/>
        </w:rPr>
        <w:softHyphen/>
        <w:t>ев), спленомегалией (54,8%), цитолитическим синдромом (97,8 %). Результаты комплексного исследования свидетельствуют о более выраженных изменениях в печени. Так, хронический персистирующий гепатит Д отмечается у 6,4% больных, хронический активный гепатит Д - у 51,3%, хронический активный ге</w:t>
      </w:r>
      <w:r>
        <w:rPr>
          <w:rFonts w:ascii="Times New Roman" w:hAnsi="Times New Roman" w:cs="Times New Roman"/>
          <w:sz w:val="24"/>
          <w:szCs w:val="24"/>
        </w:rPr>
        <w:softHyphen/>
        <w:t>патит Д в фазе цирроза -у 42,3%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Хронический активный гепатит В проявляется признаками недостаточ</w:t>
      </w:r>
      <w:r>
        <w:rPr>
          <w:rFonts w:ascii="Times New Roman" w:hAnsi="Times New Roman" w:cs="Times New Roman"/>
          <w:sz w:val="24"/>
          <w:szCs w:val="24"/>
        </w:rPr>
        <w:softHyphen/>
        <w:t>ности Т-клеточного иммунитета и подавлением факторов неспецифической резистентности: уменьшением содержания Т—хелперов до 26,9% + 1,7; Т-супрессоров до 13,7 % + 1,17; снижением иммунорегуляторного коэффициента до 1,93 + 0,23. Хронический активный гепатит Д проявляется уменьшением со</w:t>
      </w:r>
      <w:r>
        <w:rPr>
          <w:rFonts w:ascii="Times New Roman" w:hAnsi="Times New Roman" w:cs="Times New Roman"/>
          <w:sz w:val="24"/>
          <w:szCs w:val="24"/>
        </w:rPr>
        <w:softHyphen/>
        <w:t>держания Т-хелперов до 25,8 % + 1,6: Т-супрессоров до 13,3% + 1,12; сниже</w:t>
      </w:r>
      <w:r>
        <w:rPr>
          <w:rFonts w:ascii="Times New Roman" w:hAnsi="Times New Roman" w:cs="Times New Roman"/>
          <w:sz w:val="24"/>
          <w:szCs w:val="24"/>
        </w:rPr>
        <w:softHyphen/>
        <w:t>нием иммунорегуляторного коэффициента до 1,89 +: 0,15. Причем если при хроническом персистирующем гепатите нарушения иммунологического статуса незначительны, то при хроническом активном гепатите возникает выраженный синдром иммунодефицита. Прямая корреляция глубины иммунологических на</w:t>
      </w:r>
      <w:r>
        <w:rPr>
          <w:rFonts w:ascii="Times New Roman" w:hAnsi="Times New Roman" w:cs="Times New Roman"/>
          <w:sz w:val="24"/>
          <w:szCs w:val="24"/>
        </w:rPr>
        <w:softHyphen/>
        <w:t>рушений и степень активности хронических гепатитов свидетельствуют о суще</w:t>
      </w:r>
      <w:r>
        <w:rPr>
          <w:rFonts w:ascii="Times New Roman" w:hAnsi="Times New Roman" w:cs="Times New Roman"/>
          <w:sz w:val="24"/>
          <w:szCs w:val="24"/>
        </w:rPr>
        <w:softHyphen/>
        <w:t>ствовании между ними причинно-следственных связей.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Применение виферона и Т-активина, в комплексной терапии хрони</w:t>
      </w:r>
      <w:r>
        <w:rPr>
          <w:rFonts w:ascii="Times New Roman" w:hAnsi="Times New Roman" w:cs="Times New Roman"/>
          <w:sz w:val="24"/>
          <w:szCs w:val="24"/>
        </w:rPr>
        <w:softHyphen/>
        <w:t>ческих активных гепатитов В и Д характеризуются выраженным терапевтиче</w:t>
      </w:r>
      <w:r>
        <w:rPr>
          <w:rFonts w:ascii="Times New Roman" w:hAnsi="Times New Roman" w:cs="Times New Roman"/>
          <w:sz w:val="24"/>
          <w:szCs w:val="24"/>
        </w:rPr>
        <w:softHyphen/>
        <w:t>ским положительным эффектом, удлинением сроков ремиссий, которые прямо корелируют с иммунномодулирующим действием препаратов. При ХАГВ реги</w:t>
      </w:r>
      <w:r>
        <w:rPr>
          <w:rFonts w:ascii="Times New Roman" w:hAnsi="Times New Roman" w:cs="Times New Roman"/>
          <w:sz w:val="24"/>
          <w:szCs w:val="24"/>
        </w:rPr>
        <w:softHyphen/>
        <w:t>стрируется увеличение содержания в крови Т-хелперов до 31,0 % + 1,5; супрессоров до 16,3 % + 0,9; повышением иммунорегуляторного коэффициента до 1,96 + 0,3. При ХАГД регистрируется увеличение содержания в крови Тхелпе</w:t>
      </w:r>
      <w:r>
        <w:rPr>
          <w:rFonts w:ascii="Times New Roman" w:hAnsi="Times New Roman" w:cs="Times New Roman"/>
          <w:sz w:val="24"/>
          <w:szCs w:val="24"/>
        </w:rPr>
        <w:softHyphen/>
        <w:t>ров до 30,1 + 1,6; Т-супрессоров до 16,4 % + 1,0; повышением иммунорегуля</w:t>
      </w:r>
      <w:r>
        <w:rPr>
          <w:rFonts w:ascii="Times New Roman" w:hAnsi="Times New Roman" w:cs="Times New Roman"/>
          <w:sz w:val="24"/>
          <w:szCs w:val="24"/>
        </w:rPr>
        <w:softHyphen/>
        <w:t>торного коэффициента до 1,96 + 0,3. Комбинированное применение виферона и Т-активина более эффективно, а выраженность иммуномодулирующего эф</w:t>
      </w:r>
      <w:r>
        <w:rPr>
          <w:rFonts w:ascii="Times New Roman" w:hAnsi="Times New Roman" w:cs="Times New Roman"/>
          <w:sz w:val="24"/>
          <w:szCs w:val="24"/>
        </w:rPr>
        <w:softHyphen/>
        <w:t>фекта Т-активина и виферона прямо пропорционально тяжести исходных на</w:t>
      </w:r>
      <w:r>
        <w:rPr>
          <w:rFonts w:ascii="Times New Roman" w:hAnsi="Times New Roman" w:cs="Times New Roman"/>
          <w:sz w:val="24"/>
          <w:szCs w:val="24"/>
        </w:rPr>
        <w:softHyphen/>
        <w:t>рушений.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РЕКОМЕНДАЦИИ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Для выявления скрыто протекающих хронических гепатитов В, Д, С целесообразно определение серологических профилей этих инфекций. Для оценки выраженности иммуннодифецитного состояния при хроническом гепа</w:t>
      </w:r>
      <w:r>
        <w:rPr>
          <w:rFonts w:ascii="Times New Roman" w:hAnsi="Times New Roman" w:cs="Times New Roman"/>
          <w:sz w:val="24"/>
          <w:szCs w:val="24"/>
        </w:rPr>
        <w:softHyphen/>
        <w:t>тите необходимо определение следующего информативного комплекса иммунологических показателей (Т-хелперы, Т-супрессоры, иммунорегуляторный коэффициент).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лечении больных хроническим активным гепатитом В (или в соче</w:t>
      </w:r>
      <w:r>
        <w:rPr>
          <w:rFonts w:ascii="Times New Roman" w:hAnsi="Times New Roman" w:cs="Times New Roman"/>
          <w:sz w:val="24"/>
          <w:szCs w:val="24"/>
        </w:rPr>
        <w:softHyphen/>
        <w:t>тании с Д), при наличии признаков недостаточности Т-клеточного иммунитета и подавлении факторов неспецифической резистентности организма, целесооб</w:t>
      </w:r>
      <w:r>
        <w:rPr>
          <w:rFonts w:ascii="Times New Roman" w:hAnsi="Times New Roman" w:cs="Times New Roman"/>
          <w:sz w:val="24"/>
          <w:szCs w:val="24"/>
        </w:rPr>
        <w:softHyphen/>
        <w:t>разно включение в комплексную терапию виферона (схема продолжительно</w:t>
      </w:r>
      <w:r>
        <w:rPr>
          <w:rFonts w:ascii="Times New Roman" w:hAnsi="Times New Roman" w:cs="Times New Roman"/>
          <w:sz w:val="24"/>
          <w:szCs w:val="24"/>
        </w:rPr>
        <w:softHyphen/>
        <w:t>стью 180 дней, предполагает назначение в течении первых 30 дней по две све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чи ежедневно утром и вечером, а последующие 5 месяцев - по одной свече утром и вечером трижды в неделю, суммарная доза виферона - 90 миллионов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ME)</w:t>
      </w:r>
      <w:r>
        <w:rPr>
          <w:rFonts w:ascii="Times New Roman" w:hAnsi="Times New Roman" w:cs="Times New Roman"/>
          <w:sz w:val="24"/>
          <w:szCs w:val="24"/>
        </w:rPr>
        <w:t xml:space="preserve"> в сочетании с Т-активином по схеме продолжительностью 2 месяца (8 инъекций препарата подкожно по 500 мкг). На 1-й неделе больные получали 4 инъекции (1-й, 2-й, 4-й, 6-й день), через неделю - пятую инъекцию, затем по 1-й инъекции каждые 2 недели (трижды).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работ, опубликованных по теме диссертации.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Применение тимогена и виферона при лечении хронического гепатита В и хронического гепатита Д в пожилом возрасте.//Тез. докл. Междунар. симпо</w:t>
      </w:r>
      <w:r>
        <w:rPr>
          <w:rFonts w:ascii="Times New Roman" w:hAnsi="Times New Roman" w:cs="Times New Roman"/>
          <w:sz w:val="24"/>
          <w:szCs w:val="24"/>
        </w:rPr>
        <w:softHyphen/>
        <w:t>зиума "Геронтологические аспекты пептидной регуляции функций организ</w:t>
      </w:r>
      <w:r>
        <w:rPr>
          <w:rFonts w:ascii="Times New Roman" w:hAnsi="Times New Roman" w:cs="Times New Roman"/>
          <w:sz w:val="24"/>
          <w:szCs w:val="24"/>
        </w:rPr>
        <w:softHyphen/>
        <w:t>ма".-СПб. -1996.-С.67.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Лечение вифероном пожилых больных с хроническим гепатитом В и хрони</w:t>
      </w:r>
      <w:r>
        <w:rPr>
          <w:rFonts w:ascii="Times New Roman" w:hAnsi="Times New Roman" w:cs="Times New Roman"/>
          <w:sz w:val="24"/>
          <w:szCs w:val="24"/>
        </w:rPr>
        <w:softHyphen/>
        <w:t>ческим гепатитом Д.//Тез.докл. Всеросс. науч.-практ. Конф. "Пожилой больной. Качество жизни". - М. - 1996.- С.38.</w:t>
      </w:r>
    </w:p>
    <w:p w:rsidR="003E1D57" w:rsidRDefault="002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Лечение   высокими   дозами   виферона   больных   с   ХГВ   и ХГД.//Тез.докл.юбилейн.научи.конф., посвящ. 100-летию первой в России кафедры инфекционных болезней "Инфектология. Достижения и перспек</w:t>
      </w:r>
      <w:r>
        <w:rPr>
          <w:rFonts w:ascii="Times New Roman" w:hAnsi="Times New Roman" w:cs="Times New Roman"/>
          <w:sz w:val="24"/>
          <w:szCs w:val="24"/>
        </w:rPr>
        <w:softHyphen/>
        <w:t>тивы".-СПб.-1996-С. 186.</w:t>
      </w:r>
      <w:bookmarkStart w:id="0" w:name="_GoBack"/>
      <w:bookmarkEnd w:id="0"/>
    </w:p>
    <w:sectPr w:rsidR="003E1D57">
      <w:pgSz w:w="12240" w:h="15840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050"/>
    <w:rsid w:val="00245050"/>
    <w:rsid w:val="003E1D57"/>
    <w:rsid w:val="0085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9EF260-CB8B-4E54-82CE-B78EBE40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6363</Words>
  <Characters>36274</Characters>
  <Application>Microsoft Office Word</Application>
  <DocSecurity>0</DocSecurity>
  <Lines>302</Lines>
  <Paragraphs>85</Paragraphs>
  <ScaleCrop>false</ScaleCrop>
  <Company>MMA</Company>
  <LinksUpToDate>false</LinksUpToDate>
  <CharactersWithSpaces>42552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Никитин</dc:creator>
  <cp:keywords/>
  <dc:description/>
  <cp:lastModifiedBy>admin</cp:lastModifiedBy>
  <cp:revision>2</cp:revision>
  <dcterms:created xsi:type="dcterms:W3CDTF">2014-05-07T03:58:00Z</dcterms:created>
  <dcterms:modified xsi:type="dcterms:W3CDTF">2014-05-07T03:58:00Z</dcterms:modified>
</cp:coreProperties>
</file>