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F29" w:rsidRDefault="00617CD4">
      <w:pPr>
        <w:pStyle w:val="a3"/>
      </w:pPr>
      <w:r>
        <w:t xml:space="preserve">Влияние гистерезиса и вихревых токов </w:t>
      </w:r>
    </w:p>
    <w:p w:rsidR="00164F29" w:rsidRDefault="00617CD4">
      <w:pPr>
        <w:jc w:val="center"/>
        <w:rPr>
          <w:b/>
          <w:sz w:val="28"/>
        </w:rPr>
      </w:pPr>
      <w:r>
        <w:rPr>
          <w:b/>
          <w:sz w:val="28"/>
        </w:rPr>
        <w:t>на ток катушки с ферромагнитным сердечником</w:t>
      </w:r>
    </w:p>
    <w:p w:rsidR="00164F29" w:rsidRDefault="00164F29">
      <w:pPr>
        <w:jc w:val="center"/>
        <w:rPr>
          <w:b/>
          <w:sz w:val="28"/>
        </w:rPr>
      </w:pPr>
    </w:p>
    <w:p w:rsidR="00164F29" w:rsidRDefault="00617CD4">
      <w:pPr>
        <w:pStyle w:val="a4"/>
      </w:pPr>
      <w:r>
        <w:t xml:space="preserve">        Магнитный гистерезис вносит дополнительные изменения в форму кривой намагничивающего тока. Эти изменения обусловлены тем, что при увеличении магнитного потока ход кривой тока определяется восходящей, а при уменьшении потока – нисходящей ветвью петли гистерезиса.</w:t>
      </w:r>
    </w:p>
    <w:p w:rsidR="00164F29" w:rsidRDefault="00617CD4">
      <w:pPr>
        <w:jc w:val="both"/>
        <w:rPr>
          <w:sz w:val="24"/>
        </w:rPr>
      </w:pPr>
      <w:r>
        <w:rPr>
          <w:sz w:val="24"/>
        </w:rPr>
        <w:t xml:space="preserve">        </w:t>
      </w:r>
    </w:p>
    <w:p w:rsidR="00164F29" w:rsidRDefault="00164F29">
      <w:pPr>
        <w:jc w:val="both"/>
        <w:rPr>
          <w:sz w:val="24"/>
        </w:rPr>
      </w:pPr>
    </w:p>
    <w:p w:rsidR="00164F29" w:rsidRDefault="00617CD4">
      <w:pPr>
        <w:pStyle w:val="1"/>
        <w:rPr>
          <w:b/>
        </w:rPr>
      </w:pPr>
      <w:r>
        <w:rPr>
          <w:b/>
        </w:rPr>
        <w:t>Ток в катушке с учетом магнитного гистерезиса</w:t>
      </w:r>
    </w:p>
    <w:p w:rsidR="00164F29" w:rsidRDefault="00617CD4">
      <w:pPr>
        <w:jc w:val="both"/>
        <w:rPr>
          <w:sz w:val="24"/>
        </w:rPr>
      </w:pPr>
      <w:r>
        <w:rPr>
          <w:sz w:val="24"/>
        </w:rPr>
        <w:t xml:space="preserve">        На рис 1. изображен график Ф</w:t>
      </w:r>
      <w:r>
        <w:rPr>
          <w:sz w:val="24"/>
          <w:lang w:val="en-US"/>
        </w:rPr>
        <w:t>(i)</w:t>
      </w:r>
      <w:r>
        <w:rPr>
          <w:sz w:val="24"/>
        </w:rPr>
        <w:t xml:space="preserve"> зависимости магнитного потока от намагничивающего тока катушки с ферромагнитноым сердечником (петля магнитного гистерезиса). Петля гистерезиса, полученная при медленном циклическом изменении намагничивающего тока, называется статической. </w:t>
      </w:r>
    </w:p>
    <w:p w:rsidR="00164F29" w:rsidRDefault="00656BDA">
      <w:pPr>
        <w:jc w:val="center"/>
        <w:rPr>
          <w:sz w:val="24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35pt;margin-top:2.4pt;width:453.2pt;height:227.15pt;z-index:251655680;mso-position-horizontal:absolute;mso-position-horizontal-relative:text;mso-position-vertical:absolute;mso-position-vertical-relative:text" o:allowincell="f">
            <v:imagedata r:id="rId6" o:title="1" gain="234057f"/>
            <w10:wrap type="topAndBottom"/>
          </v:shape>
        </w:pict>
      </w:r>
      <w:r w:rsidR="00617CD4">
        <w:rPr>
          <w:sz w:val="24"/>
        </w:rPr>
        <w:t>рис.1</w:t>
      </w:r>
    </w:p>
    <w:p w:rsidR="00164F29" w:rsidRDefault="00164F29">
      <w:pPr>
        <w:jc w:val="both"/>
        <w:rPr>
          <w:sz w:val="24"/>
        </w:rPr>
      </w:pPr>
    </w:p>
    <w:p w:rsidR="00164F29" w:rsidRDefault="00164F29">
      <w:pPr>
        <w:jc w:val="both"/>
        <w:rPr>
          <w:sz w:val="24"/>
        </w:rPr>
      </w:pPr>
    </w:p>
    <w:p w:rsidR="00164F29" w:rsidRDefault="00617CD4">
      <w:pPr>
        <w:jc w:val="both"/>
        <w:rPr>
          <w:sz w:val="24"/>
          <w:lang w:val="en-US"/>
        </w:rPr>
      </w:pPr>
      <w:r>
        <w:rPr>
          <w:sz w:val="24"/>
        </w:rPr>
        <w:t xml:space="preserve">        На том же рисунке дана кривая тока </w:t>
      </w:r>
      <w:r>
        <w:rPr>
          <w:sz w:val="24"/>
          <w:lang w:val="en-US"/>
        </w:rPr>
        <w:t>i</w:t>
      </w:r>
      <w:r>
        <w:rPr>
          <w:sz w:val="24"/>
        </w:rPr>
        <w:t>(</w:t>
      </w:r>
      <w:r>
        <w:rPr>
          <w:sz w:val="24"/>
          <w:lang w:val="en-US"/>
        </w:rPr>
        <w:t xml:space="preserve">wt), показывающая, что при увеличении магнитного потока кривая тока идет выше, а при уменьшении потока – ниже кривой, построенной при тех же условиях по основной кривой намагничивания. Кроме того начальные фазы потока и тока не совпадают (угол сдвига </w:t>
      </w:r>
      <w:r>
        <w:rPr>
          <w:sz w:val="24"/>
          <w:lang w:val="en-US"/>
        </w:rPr>
        <w:sym w:font="Symbol" w:char="F064"/>
      </w:r>
      <w:r>
        <w:rPr>
          <w:sz w:val="24"/>
          <w:lang w:val="en-US"/>
        </w:rPr>
        <w:t xml:space="preserve">), в связи с чем первая гармоника тока (или эквивалентный ток) отстает от приложенного напряжения на угол </w:t>
      </w:r>
      <w:r>
        <w:rPr>
          <w:sz w:val="24"/>
          <w:lang w:val="en-US"/>
        </w:rPr>
        <w:sym w:font="Symbol" w:char="F06A"/>
      </w:r>
      <w:r>
        <w:rPr>
          <w:sz w:val="24"/>
          <w:lang w:val="en-US"/>
        </w:rPr>
        <w:t xml:space="preserve"> &lt; 90</w:t>
      </w:r>
      <w:r>
        <w:rPr>
          <w:sz w:val="24"/>
          <w:vertAlign w:val="superscript"/>
          <w:lang w:val="en-US"/>
        </w:rPr>
        <w:t>0</w:t>
      </w:r>
      <w:r>
        <w:rPr>
          <w:sz w:val="24"/>
          <w:lang w:val="en-US"/>
        </w:rPr>
        <w:t>.</w:t>
      </w:r>
    </w:p>
    <w:p w:rsidR="00164F29" w:rsidRDefault="00164F29">
      <w:pPr>
        <w:jc w:val="both"/>
        <w:rPr>
          <w:sz w:val="24"/>
          <w:lang w:val="en-US"/>
        </w:rPr>
      </w:pPr>
    </w:p>
    <w:p w:rsidR="00164F29" w:rsidRDefault="00164F29">
      <w:pPr>
        <w:jc w:val="both"/>
        <w:rPr>
          <w:sz w:val="24"/>
          <w:lang w:val="en-US"/>
        </w:rPr>
      </w:pPr>
    </w:p>
    <w:p w:rsidR="00164F29" w:rsidRDefault="00617CD4">
      <w:pPr>
        <w:pStyle w:val="1"/>
        <w:rPr>
          <w:b/>
        </w:rPr>
      </w:pPr>
      <w:r>
        <w:rPr>
          <w:b/>
        </w:rPr>
        <w:t>Энергия магнитного поля катушки</w:t>
      </w:r>
    </w:p>
    <w:p w:rsidR="00164F29" w:rsidRDefault="00617CD4">
      <w:pPr>
        <w:jc w:val="both"/>
        <w:rPr>
          <w:sz w:val="24"/>
        </w:rPr>
      </w:pPr>
      <w:r>
        <w:rPr>
          <w:sz w:val="24"/>
        </w:rPr>
        <w:t xml:space="preserve">        Наличие сдвига по фазе между током и напряжением, меньшего </w:t>
      </w:r>
      <w:r>
        <w:rPr>
          <w:sz w:val="24"/>
          <w:lang w:val="en-US"/>
        </w:rPr>
        <w:t>90</w:t>
      </w:r>
      <w:r>
        <w:rPr>
          <w:sz w:val="24"/>
          <w:vertAlign w:val="superscript"/>
          <w:lang w:val="en-US"/>
        </w:rPr>
        <w:t>0</w:t>
      </w:r>
      <w:r>
        <w:rPr>
          <w:sz w:val="24"/>
          <w:lang w:val="en-US"/>
        </w:rPr>
        <w:t>, указывает на то, что активная мощность в цепи не равна нулю даже в том случае, если активное сопротивление обмотки катушки R=0</w:t>
      </w:r>
      <w:r>
        <w:rPr>
          <w:sz w:val="24"/>
        </w:rPr>
        <w:t>.</w:t>
      </w:r>
    </w:p>
    <w:p w:rsidR="00164F29" w:rsidRDefault="00617CD4">
      <w:pPr>
        <w:jc w:val="both"/>
        <w:rPr>
          <w:sz w:val="24"/>
        </w:rPr>
      </w:pPr>
      <w:r>
        <w:rPr>
          <w:sz w:val="24"/>
        </w:rPr>
        <w:t xml:space="preserve">        Следовательно, ток катушки из-за потерь на гистерезис имеет активную составляющую, а средняя мощность за период не равна нулю.</w:t>
      </w:r>
    </w:p>
    <w:p w:rsidR="00164F29" w:rsidRDefault="00617CD4">
      <w:pPr>
        <w:jc w:val="both"/>
        <w:rPr>
          <w:sz w:val="24"/>
        </w:rPr>
      </w:pPr>
      <w:r>
        <w:rPr>
          <w:sz w:val="24"/>
        </w:rPr>
        <w:t xml:space="preserve">        В данном случае активная мощность характеризует расход энергии на перемагничивание ферромагнитного сердечника.</w:t>
      </w:r>
    </w:p>
    <w:p w:rsidR="00164F29" w:rsidRDefault="00617CD4">
      <w:pPr>
        <w:jc w:val="both"/>
        <w:rPr>
          <w:sz w:val="24"/>
          <w:lang w:val="en-US"/>
        </w:rPr>
      </w:pPr>
      <w:r>
        <w:rPr>
          <w:sz w:val="24"/>
        </w:rPr>
        <w:t xml:space="preserve">        Изменение энергии магнитного поля </w:t>
      </w:r>
      <w:r>
        <w:rPr>
          <w:sz w:val="24"/>
          <w:lang w:val="en-US"/>
        </w:rPr>
        <w:t>dW</w:t>
      </w:r>
      <w:r>
        <w:rPr>
          <w:sz w:val="24"/>
          <w:vertAlign w:val="subscript"/>
          <w:lang w:val="en-US"/>
        </w:rPr>
        <w:t>m</w:t>
      </w:r>
      <w:r>
        <w:rPr>
          <w:sz w:val="24"/>
        </w:rPr>
        <w:t xml:space="preserve"> выражается площадью элементарного прямоугольника со сторонами </w:t>
      </w:r>
      <w:r>
        <w:rPr>
          <w:sz w:val="24"/>
          <w:lang w:val="en-US"/>
        </w:rPr>
        <w:t xml:space="preserve">i </w:t>
      </w:r>
      <w:r>
        <w:rPr>
          <w:sz w:val="24"/>
        </w:rPr>
        <w:t xml:space="preserve">и </w:t>
      </w:r>
      <w:r>
        <w:rPr>
          <w:sz w:val="24"/>
          <w:lang w:val="en-US"/>
        </w:rPr>
        <w:t>d</w:t>
      </w:r>
      <w:r>
        <w:rPr>
          <w:sz w:val="24"/>
          <w:lang w:val="en-US"/>
        </w:rPr>
        <w:sym w:font="Symbol" w:char="F079"/>
      </w:r>
      <w:r>
        <w:rPr>
          <w:sz w:val="24"/>
          <w:lang w:val="en-US"/>
        </w:rPr>
        <w:t>. Следовательно</w:t>
      </w:r>
    </w:p>
    <w:p w:rsidR="00164F29" w:rsidRDefault="00617CD4">
      <w:pPr>
        <w:jc w:val="center"/>
        <w:rPr>
          <w:sz w:val="24"/>
          <w:lang w:val="en-US"/>
        </w:rPr>
      </w:pPr>
      <w:r>
        <w:rPr>
          <w:i/>
          <w:sz w:val="24"/>
          <w:lang w:val="en-US"/>
        </w:rPr>
        <w:lastRenderedPageBreak/>
        <w:t>dW</w:t>
      </w:r>
      <w:r>
        <w:rPr>
          <w:sz w:val="24"/>
        </w:rPr>
        <w:t xml:space="preserve">м = </w:t>
      </w:r>
      <w:r>
        <w:rPr>
          <w:i/>
          <w:sz w:val="24"/>
          <w:lang w:val="en-US"/>
        </w:rPr>
        <w:t>id</w:t>
      </w:r>
      <w:r>
        <w:rPr>
          <w:sz w:val="24"/>
          <w:lang w:val="en-US"/>
        </w:rPr>
        <w:sym w:font="Symbol" w:char="F079"/>
      </w:r>
    </w:p>
    <w:p w:rsidR="00164F29" w:rsidRDefault="00164F29">
      <w:pPr>
        <w:jc w:val="center"/>
        <w:rPr>
          <w:sz w:val="24"/>
          <w:lang w:val="en-US"/>
        </w:rPr>
      </w:pPr>
    </w:p>
    <w:p w:rsidR="00164F29" w:rsidRDefault="00617CD4">
      <w:pPr>
        <w:jc w:val="both"/>
        <w:rPr>
          <w:sz w:val="24"/>
        </w:rPr>
      </w:pPr>
      <w:r>
        <w:rPr>
          <w:sz w:val="24"/>
          <w:lang w:val="en-US"/>
        </w:rPr>
        <w:t xml:space="preserve">        </w:t>
      </w:r>
      <w:r>
        <w:rPr>
          <w:sz w:val="24"/>
        </w:rPr>
        <w:t xml:space="preserve">Энергия магнитного поля, запасенная при увеличении тока в катушке, определяется площадью, ограниченной кривой </w:t>
      </w:r>
      <w:r>
        <w:rPr>
          <w:sz w:val="24"/>
        </w:rPr>
        <w:sym w:font="Symbol" w:char="F079"/>
      </w:r>
      <w:r>
        <w:rPr>
          <w:sz w:val="24"/>
        </w:rPr>
        <w:t>(</w:t>
      </w:r>
      <w:r>
        <w:rPr>
          <w:sz w:val="24"/>
          <w:lang w:val="en-US"/>
        </w:rPr>
        <w:t>i)</w:t>
      </w:r>
      <w:r>
        <w:rPr>
          <w:sz w:val="24"/>
        </w:rPr>
        <w:t xml:space="preserve"> и осью ординат (рис.2)</w:t>
      </w:r>
      <w:r>
        <w:rPr>
          <w:sz w:val="24"/>
          <w:lang w:val="en-US"/>
        </w:rPr>
        <w:t>:</w:t>
      </w:r>
    </w:p>
    <w:p w:rsidR="00164F29" w:rsidRDefault="00164F29">
      <w:pPr>
        <w:jc w:val="both"/>
        <w:rPr>
          <w:sz w:val="24"/>
        </w:rPr>
      </w:pPr>
    </w:p>
    <w:p w:rsidR="00164F29" w:rsidRDefault="00617CD4">
      <w:pPr>
        <w:jc w:val="center"/>
        <w:rPr>
          <w:sz w:val="24"/>
          <w:lang w:val="en-US"/>
        </w:rPr>
      </w:pPr>
      <w:r>
        <w:rPr>
          <w:i/>
          <w:sz w:val="24"/>
          <w:lang w:val="en-US"/>
        </w:rPr>
        <w:t>W</w:t>
      </w:r>
      <w:r>
        <w:rPr>
          <w:sz w:val="24"/>
        </w:rPr>
        <w:t xml:space="preserve">м = </w:t>
      </w:r>
      <w:r>
        <w:rPr>
          <w:sz w:val="28"/>
          <w:lang w:val="en-US"/>
        </w:rPr>
        <w:t xml:space="preserve"> S</w:t>
      </w:r>
      <w:r>
        <w:rPr>
          <w:i/>
          <w:sz w:val="24"/>
          <w:lang w:val="en-US"/>
        </w:rPr>
        <w:t>id</w:t>
      </w:r>
      <w:r>
        <w:rPr>
          <w:sz w:val="24"/>
          <w:lang w:val="en-US"/>
        </w:rPr>
        <w:sym w:font="Symbol" w:char="F079"/>
      </w:r>
      <w:r>
        <w:rPr>
          <w:sz w:val="24"/>
          <w:lang w:val="en-US"/>
        </w:rPr>
        <w:t>.</w:t>
      </w:r>
    </w:p>
    <w:p w:rsidR="00164F29" w:rsidRDefault="00656BDA">
      <w:pPr>
        <w:jc w:val="center"/>
        <w:rPr>
          <w:sz w:val="24"/>
          <w:lang w:val="en-US"/>
        </w:rPr>
      </w:pPr>
      <w:r>
        <w:rPr>
          <w:noProof/>
          <w:sz w:val="24"/>
        </w:rPr>
        <w:pict>
          <v:shape id="_x0000_s1027" type="#_x0000_t75" style="position:absolute;left:0;text-align:left;margin-left:138.15pt;margin-top:8.2pt;width:170.6pt;height:223.2pt;z-index:251656704;mso-position-horizontal:absolute;mso-position-horizontal-relative:text;mso-position-vertical:absolute;mso-position-vertical-relative:text" o:allowincell="f">
            <v:imagedata r:id="rId7" o:title="2" gain="2147483647f"/>
            <w10:wrap type="topAndBottom"/>
          </v:shape>
        </w:pict>
      </w:r>
      <w:r w:rsidR="00617CD4">
        <w:rPr>
          <w:sz w:val="24"/>
          <w:lang w:val="en-US"/>
        </w:rPr>
        <w:t>рис.2</w:t>
      </w:r>
    </w:p>
    <w:p w:rsidR="00164F29" w:rsidRDefault="00164F29">
      <w:pPr>
        <w:rPr>
          <w:sz w:val="24"/>
          <w:lang w:val="en-US"/>
        </w:rPr>
      </w:pPr>
    </w:p>
    <w:p w:rsidR="00164F29" w:rsidRDefault="00617CD4">
      <w:pPr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        </w:t>
      </w:r>
      <w:r>
        <w:rPr>
          <w:sz w:val="24"/>
        </w:rPr>
        <w:t xml:space="preserve">Рассмотрим цикл перемагничивания сердечника, начиная с точки 1, когда </w:t>
      </w:r>
      <w:r>
        <w:rPr>
          <w:sz w:val="24"/>
          <w:lang w:val="en-US"/>
        </w:rPr>
        <w:t>i</w:t>
      </w:r>
      <w:r>
        <w:rPr>
          <w:sz w:val="24"/>
        </w:rPr>
        <w:t xml:space="preserve">=0 и </w:t>
      </w:r>
    </w:p>
    <w:p w:rsidR="00164F29" w:rsidRDefault="00617CD4">
      <w:pPr>
        <w:jc w:val="both"/>
        <w:rPr>
          <w:sz w:val="24"/>
        </w:rPr>
      </w:pPr>
      <w:r>
        <w:rPr>
          <w:sz w:val="24"/>
          <w:lang w:val="en-US"/>
        </w:rPr>
        <w:t>B</w:t>
      </w:r>
      <w:r>
        <w:rPr>
          <w:sz w:val="24"/>
        </w:rPr>
        <w:t>= -</w:t>
      </w:r>
      <w:r>
        <w:rPr>
          <w:sz w:val="24"/>
          <w:lang w:val="en-US"/>
        </w:rPr>
        <w:t>B</w:t>
      </w:r>
      <w:r>
        <w:rPr>
          <w:sz w:val="24"/>
        </w:rPr>
        <w:t xml:space="preserve"> (рис. 3,а).</w:t>
      </w:r>
    </w:p>
    <w:p w:rsidR="00164F29" w:rsidRDefault="00617CD4">
      <w:pPr>
        <w:jc w:val="both"/>
        <w:rPr>
          <w:sz w:val="24"/>
          <w:lang w:val="en-US"/>
        </w:rPr>
      </w:pPr>
      <w:r>
        <w:rPr>
          <w:sz w:val="24"/>
        </w:rPr>
        <w:t xml:space="preserve">        Для размагничивания сердечника от </w:t>
      </w:r>
      <w:r>
        <w:rPr>
          <w:sz w:val="24"/>
          <w:lang w:val="en-US"/>
        </w:rPr>
        <w:t>–B</w:t>
      </w:r>
      <w:r>
        <w:rPr>
          <w:sz w:val="24"/>
        </w:rPr>
        <w:t xml:space="preserve">, до 0 и последующего намагничивания до </w:t>
      </w:r>
      <w:r>
        <w:rPr>
          <w:sz w:val="24"/>
          <w:lang w:val="en-US"/>
        </w:rPr>
        <w:t xml:space="preserve">Bmax </w:t>
      </w:r>
      <w:r>
        <w:rPr>
          <w:sz w:val="24"/>
        </w:rPr>
        <w:t xml:space="preserve">затрачивается энергия, которая  определяется площадью, ограниченной контуром 1-2-3-4-0-1.  Эта площадь непосредственно определяет величину </w:t>
      </w:r>
      <w:r>
        <w:rPr>
          <w:sz w:val="24"/>
          <w:lang w:val="en-US"/>
        </w:rPr>
        <w:t>HdB</w:t>
      </w:r>
      <w:r>
        <w:rPr>
          <w:sz w:val="24"/>
        </w:rPr>
        <w:t xml:space="preserve">, но </w:t>
      </w:r>
      <w:r>
        <w:rPr>
          <w:sz w:val="24"/>
          <w:lang w:val="en-US"/>
        </w:rPr>
        <w:t>dB</w:t>
      </w:r>
      <w:r>
        <w:rPr>
          <w:sz w:val="24"/>
        </w:rPr>
        <w:t xml:space="preserve"> пропорционально </w:t>
      </w:r>
      <w:r>
        <w:rPr>
          <w:sz w:val="24"/>
          <w:lang w:val="en-US"/>
        </w:rPr>
        <w:t>d</w:t>
      </w:r>
      <w:r>
        <w:rPr>
          <w:sz w:val="24"/>
          <w:lang w:val="en-US"/>
        </w:rPr>
        <w:sym w:font="Symbol" w:char="F079"/>
      </w:r>
      <w:r>
        <w:rPr>
          <w:sz w:val="24"/>
        </w:rPr>
        <w:t xml:space="preserve">, а </w:t>
      </w:r>
      <w:r>
        <w:rPr>
          <w:sz w:val="24"/>
          <w:lang w:val="en-US"/>
        </w:rPr>
        <w:t>H</w:t>
      </w:r>
      <w:r>
        <w:rPr>
          <w:sz w:val="24"/>
        </w:rPr>
        <w:t xml:space="preserve"> пропорционально </w:t>
      </w:r>
      <w:r>
        <w:rPr>
          <w:sz w:val="24"/>
          <w:lang w:val="en-US"/>
        </w:rPr>
        <w:t>i</w:t>
      </w:r>
      <w:r>
        <w:rPr>
          <w:sz w:val="24"/>
        </w:rPr>
        <w:t>.</w:t>
      </w:r>
    </w:p>
    <w:p w:rsidR="00164F29" w:rsidRDefault="00656BDA">
      <w:pPr>
        <w:jc w:val="center"/>
        <w:rPr>
          <w:sz w:val="24"/>
          <w:lang w:val="en-US"/>
        </w:rPr>
      </w:pPr>
      <w:r>
        <w:rPr>
          <w:noProof/>
          <w:sz w:val="24"/>
        </w:rPr>
        <w:pict>
          <v:shape id="_x0000_s1028" type="#_x0000_t75" style="position:absolute;left:0;text-align:left;margin-left:0;margin-top:0;width:452.8pt;height:284.05pt;z-index:251657728;mso-position-horizontal:absolute;mso-position-horizontal-relative:text;mso-position-vertical:absolute;mso-position-vertical-relative:text" o:allowincell="f">
            <v:imagedata r:id="rId8" o:title="3" gain="2147483647f"/>
            <w10:wrap type="topAndBottom"/>
          </v:shape>
        </w:pict>
      </w:r>
      <w:r w:rsidR="00617CD4">
        <w:rPr>
          <w:sz w:val="24"/>
          <w:lang w:val="en-US"/>
        </w:rPr>
        <w:t>рис. 3</w:t>
      </w:r>
    </w:p>
    <w:p w:rsidR="00164F29" w:rsidRDefault="00617CD4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 На всем протяжении рассматриваемой части петли маг</w:t>
      </w:r>
      <w:r>
        <w:rPr>
          <w:snapToGrid w:val="0"/>
          <w:sz w:val="24"/>
        </w:rPr>
        <w:softHyphen/>
        <w:t>нитного гистерезиса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(1-2-3)</w:t>
      </w:r>
      <w:r>
        <w:rPr>
          <w:snapToGrid w:val="0"/>
          <w:sz w:val="24"/>
        </w:rPr>
        <w:t xml:space="preserve"> напряженность поля </w:t>
      </w:r>
      <w:bookmarkStart w:id="0" w:name="OCRUncertain001"/>
      <w:r>
        <w:rPr>
          <w:i/>
          <w:snapToGrid w:val="0"/>
          <w:sz w:val="24"/>
        </w:rPr>
        <w:t>Н</w:t>
      </w:r>
      <w:bookmarkEnd w:id="0"/>
      <w:r>
        <w:rPr>
          <w:snapToGrid w:val="0"/>
          <w:sz w:val="24"/>
        </w:rPr>
        <w:t xml:space="preserve"> и прираще</w:t>
      </w:r>
      <w:r>
        <w:rPr>
          <w:snapToGrid w:val="0"/>
          <w:sz w:val="24"/>
        </w:rPr>
        <w:softHyphen/>
        <w:t xml:space="preserve">ния магнитного </w:t>
      </w:r>
      <w:bookmarkStart w:id="1" w:name="OCRUncertain002"/>
      <w:r>
        <w:rPr>
          <w:snapToGrid w:val="0"/>
          <w:sz w:val="24"/>
        </w:rPr>
        <w:t>потокосцепления</w:t>
      </w:r>
      <w:bookmarkEnd w:id="1"/>
      <w:r>
        <w:rPr>
          <w:snapToGrid w:val="0"/>
          <w:sz w:val="24"/>
        </w:rPr>
        <w:t xml:space="preserve"> </w:t>
      </w:r>
      <w:r>
        <w:rPr>
          <w:snapToGrid w:val="0"/>
          <w:sz w:val="24"/>
        </w:rPr>
        <w:sym w:font="Symbol" w:char="F044"/>
      </w:r>
      <w:r>
        <w:rPr>
          <w:snapToGrid w:val="0"/>
          <w:sz w:val="24"/>
        </w:rPr>
        <w:sym w:font="Symbol" w:char="F059"/>
      </w:r>
      <w:r>
        <w:rPr>
          <w:snapToGrid w:val="0"/>
          <w:sz w:val="24"/>
        </w:rPr>
        <w:t xml:space="preserve"> положительны.</w:t>
      </w:r>
    </w:p>
    <w:p w:rsidR="00164F29" w:rsidRDefault="00617CD4">
      <w:pPr>
        <w:widowControl w:val="0"/>
        <w:jc w:val="both"/>
        <w:rPr>
          <w:i/>
          <w:noProof/>
          <w:snapToGrid w:val="0"/>
          <w:sz w:val="24"/>
        </w:rPr>
      </w:pPr>
      <w:r>
        <w:rPr>
          <w:snapToGrid w:val="0"/>
          <w:sz w:val="24"/>
        </w:rPr>
        <w:t xml:space="preserve">        При размагничивании от </w:t>
      </w:r>
      <w:bookmarkStart w:id="2" w:name="OCRUncertain004"/>
      <w:r>
        <w:rPr>
          <w:i/>
          <w:snapToGrid w:val="0"/>
          <w:sz w:val="24"/>
        </w:rPr>
        <w:t>В</w:t>
      </w:r>
      <w:bookmarkEnd w:id="2"/>
      <w:r>
        <w:rPr>
          <w:i/>
          <w:snapToGrid w:val="0"/>
          <w:sz w:val="24"/>
        </w:rPr>
        <w:t>мах</w:t>
      </w:r>
      <w:r>
        <w:rPr>
          <w:snapToGrid w:val="0"/>
          <w:sz w:val="24"/>
        </w:rPr>
        <w:t xml:space="preserve"> до</w:t>
      </w:r>
      <w:r>
        <w:rPr>
          <w:noProof/>
          <w:snapToGrid w:val="0"/>
          <w:sz w:val="24"/>
        </w:rPr>
        <w:t xml:space="preserve"> </w:t>
      </w:r>
      <w:bookmarkStart w:id="3" w:name="OCRUncertain005"/>
      <w:r>
        <w:rPr>
          <w:i/>
          <w:noProof/>
          <w:snapToGrid w:val="0"/>
          <w:sz w:val="24"/>
        </w:rPr>
        <w:t>+</w:t>
      </w:r>
      <w:bookmarkEnd w:id="3"/>
      <w:r>
        <w:rPr>
          <w:i/>
          <w:snapToGrid w:val="0"/>
          <w:sz w:val="24"/>
        </w:rPr>
        <w:t xml:space="preserve"> В</w:t>
      </w:r>
      <w:bookmarkStart w:id="4" w:name="OCRUncertain006"/>
      <w:r>
        <w:rPr>
          <w:i/>
          <w:snapToGrid w:val="0"/>
          <w:sz w:val="24"/>
        </w:rPr>
        <w:t>,</w:t>
      </w:r>
      <w:bookmarkEnd w:id="4"/>
      <w:r>
        <w:rPr>
          <w:snapToGrid w:val="0"/>
          <w:sz w:val="24"/>
        </w:rPr>
        <w:t xml:space="preserve"> (участок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 xml:space="preserve">3-5) </w:t>
      </w:r>
      <w:r>
        <w:rPr>
          <w:snapToGrid w:val="0"/>
          <w:sz w:val="24"/>
        </w:rPr>
        <w:t>напряженность поля по-прежнему положительна, а приращения потокосцепления отрицательны. Площадь, ограниченную кон</w:t>
      </w:r>
      <w:r>
        <w:rPr>
          <w:snapToGrid w:val="0"/>
          <w:sz w:val="24"/>
        </w:rPr>
        <w:softHyphen/>
        <w:t>туром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3-4-5-3,</w:t>
      </w:r>
      <w:r>
        <w:rPr>
          <w:snapToGrid w:val="0"/>
          <w:sz w:val="24"/>
        </w:rPr>
        <w:t xml:space="preserve"> нужно считать отрицательной. Энергия, пропор</w:t>
      </w:r>
      <w:r>
        <w:rPr>
          <w:snapToGrid w:val="0"/>
          <w:sz w:val="24"/>
        </w:rPr>
        <w:softHyphen/>
        <w:t xml:space="preserve">циональная этой площади, возвращается источнику. На участке </w:t>
      </w:r>
      <w:r>
        <w:rPr>
          <w:noProof/>
          <w:snapToGrid w:val="0"/>
          <w:sz w:val="24"/>
        </w:rPr>
        <w:t>5-6-7</w:t>
      </w:r>
      <w:r>
        <w:rPr>
          <w:snapToGrid w:val="0"/>
          <w:sz w:val="24"/>
        </w:rPr>
        <w:t xml:space="preserve"> петли гистерезиса напряженность поля и приращения потокосцепления отрицательны. Площадь, ограниченная кон</w:t>
      </w:r>
      <w:r>
        <w:rPr>
          <w:snapToGrid w:val="0"/>
          <w:sz w:val="24"/>
        </w:rPr>
        <w:softHyphen/>
        <w:t>туром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5-6-7-8-1-0-5,</w:t>
      </w:r>
      <w:r>
        <w:rPr>
          <w:snapToGrid w:val="0"/>
          <w:sz w:val="24"/>
        </w:rPr>
        <w:t xml:space="preserve"> положительна. Это означает, что энергия опять потребляется от источника. Размагничивание на участке </w:t>
      </w:r>
      <w:r>
        <w:rPr>
          <w:i/>
          <w:noProof/>
          <w:snapToGrid w:val="0"/>
          <w:sz w:val="24"/>
        </w:rPr>
        <w:t>7-1</w:t>
      </w:r>
      <w:r>
        <w:rPr>
          <w:snapToGrid w:val="0"/>
          <w:sz w:val="24"/>
        </w:rPr>
        <w:t xml:space="preserve"> сопровождается возвращением энергии источнику в коли</w:t>
      </w:r>
      <w:r>
        <w:rPr>
          <w:snapToGrid w:val="0"/>
          <w:sz w:val="24"/>
        </w:rPr>
        <w:softHyphen/>
        <w:t>честве, пропорциональном площади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7-8-1-7.</w:t>
      </w:r>
    </w:p>
    <w:p w:rsidR="00164F29" w:rsidRDefault="00617CD4">
      <w:pPr>
        <w:widowControl w:val="0"/>
        <w:jc w:val="both"/>
        <w:rPr>
          <w:i/>
          <w:snapToGrid w:val="0"/>
          <w:sz w:val="24"/>
        </w:rPr>
      </w:pPr>
      <w:r>
        <w:rPr>
          <w:snapToGrid w:val="0"/>
          <w:sz w:val="24"/>
        </w:rPr>
        <w:t xml:space="preserve">        Таким образом, </w:t>
      </w:r>
      <w:r>
        <w:rPr>
          <w:i/>
          <w:snapToGrid w:val="0"/>
          <w:sz w:val="24"/>
        </w:rPr>
        <w:t xml:space="preserve">энергия, израсходованная в единице объема </w:t>
      </w:r>
      <w:bookmarkStart w:id="5" w:name="OCRUncertain007"/>
      <w:r>
        <w:rPr>
          <w:i/>
          <w:snapToGrid w:val="0"/>
          <w:sz w:val="24"/>
        </w:rPr>
        <w:t>ф</w:t>
      </w:r>
      <w:bookmarkEnd w:id="5"/>
      <w:r>
        <w:rPr>
          <w:i/>
          <w:snapToGrid w:val="0"/>
          <w:sz w:val="24"/>
        </w:rPr>
        <w:t xml:space="preserve">ерромагнитного сердечника за один цикл </w:t>
      </w:r>
      <w:bookmarkStart w:id="6" w:name="OCRUncertain008"/>
      <w:r>
        <w:rPr>
          <w:i/>
          <w:snapToGrid w:val="0"/>
          <w:sz w:val="24"/>
        </w:rPr>
        <w:t xml:space="preserve">перемагничивания, </w:t>
      </w:r>
      <w:bookmarkEnd w:id="6"/>
      <w:r>
        <w:rPr>
          <w:i/>
          <w:snapToGrid w:val="0"/>
          <w:sz w:val="24"/>
        </w:rPr>
        <w:t>определяется площадью, ограниченной петлей магнитного ги</w:t>
      </w:r>
      <w:r>
        <w:rPr>
          <w:i/>
          <w:snapToGrid w:val="0"/>
          <w:sz w:val="24"/>
        </w:rPr>
        <w:softHyphen/>
        <w:t>стерезиса.</w:t>
      </w:r>
    </w:p>
    <w:p w:rsidR="00164F29" w:rsidRDefault="00164F29"/>
    <w:p w:rsidR="00164F29" w:rsidRDefault="00164F29"/>
    <w:p w:rsidR="00164F29" w:rsidRDefault="00617CD4">
      <w:pPr>
        <w:pStyle w:val="2"/>
        <w:rPr>
          <w:b/>
        </w:rPr>
      </w:pPr>
      <w:r>
        <w:rPr>
          <w:b/>
        </w:rPr>
        <w:t>Потери энергии в ферромагнитном сердечнике катушки</w:t>
      </w:r>
    </w:p>
    <w:p w:rsidR="00164F29" w:rsidRDefault="00617CD4">
      <w:pPr>
        <w:widowControl w:val="0"/>
        <w:ind w:firstLine="320"/>
        <w:jc w:val="both"/>
        <w:rPr>
          <w:noProof/>
          <w:snapToGrid w:val="0"/>
          <w:sz w:val="24"/>
        </w:rPr>
      </w:pPr>
      <w:r>
        <w:rPr>
          <w:snapToGrid w:val="0"/>
          <w:sz w:val="24"/>
        </w:rPr>
        <w:t>При достаточно быстром изменении намагничивающего тока в ферромагнитном сердечнике возникают вихревые токи</w:t>
      </w:r>
      <w:r>
        <w:rPr>
          <w:noProof/>
          <w:snapToGrid w:val="0"/>
          <w:sz w:val="24"/>
        </w:rPr>
        <w:t>.</w:t>
      </w:r>
    </w:p>
    <w:p w:rsidR="00164F29" w:rsidRDefault="00617CD4">
      <w:pPr>
        <w:widowControl w:val="0"/>
        <w:ind w:firstLine="320"/>
        <w:jc w:val="both"/>
        <w:rPr>
          <w:snapToGrid w:val="0"/>
          <w:sz w:val="24"/>
        </w:rPr>
      </w:pPr>
      <w:r>
        <w:rPr>
          <w:snapToGrid w:val="0"/>
          <w:sz w:val="24"/>
        </w:rPr>
        <w:t>Вихревые токи создают намагничивающую силу, направ</w:t>
      </w:r>
      <w:r>
        <w:rPr>
          <w:snapToGrid w:val="0"/>
          <w:sz w:val="24"/>
        </w:rPr>
        <w:softHyphen/>
        <w:t xml:space="preserve">ленную навстречу намагничивающей силе обмотки с током </w:t>
      </w:r>
      <w:bookmarkStart w:id="7" w:name="OCRUncertain009"/>
      <w:r>
        <w:rPr>
          <w:i/>
          <w:snapToGrid w:val="0"/>
          <w:sz w:val="24"/>
          <w:lang w:val="en-US"/>
        </w:rPr>
        <w:t>i,</w:t>
      </w:r>
      <w:bookmarkEnd w:id="7"/>
      <w:r>
        <w:rPr>
          <w:snapToGrid w:val="0"/>
          <w:sz w:val="24"/>
        </w:rPr>
        <w:t xml:space="preserve"> поэтому изменения магнитной индукции и магнитного потока в сердечнике как бы задерживаются: те же величины магнитной индукции и потока получатся при большем намаг</w:t>
      </w:r>
      <w:r>
        <w:rPr>
          <w:snapToGrid w:val="0"/>
          <w:sz w:val="24"/>
        </w:rPr>
        <w:softHyphen/>
        <w:t>ничивающем токе в обмотке. Это значит, что при переменном токе в обмотке петля магнитного гистерезиса шире статической петли в связи с действием вихревых токов. Петля магнитного гистерезиса, соответствующая переменному намагничивающему току, называется динамической.</w:t>
      </w:r>
    </w:p>
    <w:p w:rsidR="00164F29" w:rsidRDefault="00617CD4">
      <w:pPr>
        <w:widowControl w:val="0"/>
        <w:ind w:firstLine="320"/>
        <w:jc w:val="both"/>
        <w:rPr>
          <w:snapToGrid w:val="0"/>
          <w:sz w:val="24"/>
        </w:rPr>
      </w:pPr>
      <w:r>
        <w:rPr>
          <w:snapToGrid w:val="0"/>
          <w:sz w:val="24"/>
        </w:rPr>
        <w:t>На рис.</w:t>
      </w:r>
      <w:r>
        <w:rPr>
          <w:noProof/>
          <w:snapToGrid w:val="0"/>
          <w:sz w:val="24"/>
        </w:rPr>
        <w:t>3,</w:t>
      </w:r>
      <w:r>
        <w:rPr>
          <w:i/>
          <w:snapToGrid w:val="0"/>
          <w:sz w:val="24"/>
        </w:rPr>
        <w:t>б</w:t>
      </w:r>
      <w:r>
        <w:rPr>
          <w:snapToGrid w:val="0"/>
          <w:sz w:val="24"/>
        </w:rPr>
        <w:t xml:space="preserve"> показаны динамические кривые намагничива</w:t>
      </w:r>
      <w:r>
        <w:rPr>
          <w:snapToGrid w:val="0"/>
          <w:sz w:val="24"/>
        </w:rPr>
        <w:softHyphen/>
        <w:t>ния сплава железо-никель при различных частотах тока. Вихревые токи увеличиваются с ростом частоты перемагничивания, удельной проводимости и магнитной проницаемости материала сердечника, при этом динамическая петля расширяется.</w:t>
      </w:r>
    </w:p>
    <w:p w:rsidR="00164F29" w:rsidRDefault="00617CD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 Возникновение вихревых токов вызывает дополнительный расход энергии в сердечнике. Энергия, израсходованная на </w:t>
      </w:r>
      <w:bookmarkStart w:id="8" w:name="OCRUncertain010"/>
      <w:r>
        <w:rPr>
          <w:snapToGrid w:val="0"/>
          <w:sz w:val="24"/>
        </w:rPr>
        <w:t>перемагничивание</w:t>
      </w:r>
      <w:bookmarkEnd w:id="8"/>
      <w:r>
        <w:rPr>
          <w:snapToGrid w:val="0"/>
          <w:sz w:val="24"/>
        </w:rPr>
        <w:t xml:space="preserve"> сердечника и поддержание в нем вихревых токов, преобразуется в теплоту. Эту энергию называют магнитными потерями или потерями в стали</w:t>
      </w:r>
      <w:r>
        <w:rPr>
          <w:noProof/>
          <w:snapToGrid w:val="0"/>
          <w:sz w:val="24"/>
        </w:rPr>
        <w:t>—</w:t>
      </w:r>
      <w:r>
        <w:rPr>
          <w:snapToGrid w:val="0"/>
          <w:sz w:val="24"/>
        </w:rPr>
        <w:t xml:space="preserve">по названию наиболее применяемого ферромагнитного материала. Мощность магнитных потерь </w:t>
      </w:r>
      <w:bookmarkStart w:id="9" w:name="OCRUncertain011"/>
      <w:r>
        <w:rPr>
          <w:i/>
          <w:snapToGrid w:val="0"/>
          <w:sz w:val="24"/>
        </w:rPr>
        <w:t>Рм</w:t>
      </w:r>
      <w:bookmarkEnd w:id="9"/>
      <w:r>
        <w:rPr>
          <w:snapToGrid w:val="0"/>
          <w:sz w:val="24"/>
        </w:rPr>
        <w:t xml:space="preserve"> пропорциональна площади динамической петли магнитного гистерезиса. Ее обычно опре</w:t>
      </w:r>
      <w:r>
        <w:rPr>
          <w:snapToGrid w:val="0"/>
          <w:sz w:val="24"/>
        </w:rPr>
        <w:softHyphen/>
        <w:t>деляют по формуле</w:t>
      </w:r>
    </w:p>
    <w:p w:rsidR="00164F29" w:rsidRDefault="00164F29">
      <w:pPr>
        <w:jc w:val="both"/>
        <w:rPr>
          <w:snapToGrid w:val="0"/>
          <w:sz w:val="24"/>
        </w:rPr>
      </w:pPr>
    </w:p>
    <w:p w:rsidR="00164F29" w:rsidRDefault="00617CD4">
      <w:pPr>
        <w:jc w:val="center"/>
        <w:rPr>
          <w:i/>
          <w:snapToGrid w:val="0"/>
          <w:sz w:val="24"/>
        </w:rPr>
      </w:pPr>
      <w:r>
        <w:rPr>
          <w:i/>
          <w:snapToGrid w:val="0"/>
          <w:sz w:val="24"/>
          <w:lang w:val="en-US"/>
        </w:rPr>
        <w:t>P</w:t>
      </w:r>
      <w:r>
        <w:rPr>
          <w:i/>
          <w:snapToGrid w:val="0"/>
          <w:sz w:val="24"/>
        </w:rPr>
        <w:t>м=</w:t>
      </w:r>
      <w:r>
        <w:rPr>
          <w:i/>
          <w:snapToGrid w:val="0"/>
          <w:sz w:val="24"/>
          <w:lang w:val="en-US"/>
        </w:rPr>
        <w:t>P</w:t>
      </w:r>
      <w:r>
        <w:rPr>
          <w:i/>
          <w:snapToGrid w:val="0"/>
          <w:sz w:val="24"/>
        </w:rPr>
        <w:t>уд</w:t>
      </w:r>
      <w:r>
        <w:rPr>
          <w:i/>
          <w:snapToGrid w:val="0"/>
          <w:sz w:val="24"/>
          <w:lang w:val="en-US"/>
        </w:rPr>
        <w:t>G</w:t>
      </w:r>
      <w:r>
        <w:rPr>
          <w:i/>
          <w:snapToGrid w:val="0"/>
          <w:sz w:val="24"/>
        </w:rPr>
        <w:t>,</w:t>
      </w:r>
    </w:p>
    <w:p w:rsidR="00164F29" w:rsidRDefault="00164F29">
      <w:pPr>
        <w:jc w:val="both"/>
        <w:rPr>
          <w:i/>
          <w:snapToGrid w:val="0"/>
          <w:sz w:val="24"/>
        </w:rPr>
      </w:pPr>
    </w:p>
    <w:p w:rsidR="00164F29" w:rsidRDefault="00617CD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где </w:t>
      </w:r>
      <w:r>
        <w:rPr>
          <w:snapToGrid w:val="0"/>
          <w:sz w:val="24"/>
          <w:lang w:val="en-US"/>
        </w:rPr>
        <w:t>G</w:t>
      </w:r>
      <w:r>
        <w:rPr>
          <w:snapToGrid w:val="0"/>
          <w:sz w:val="24"/>
        </w:rPr>
        <w:t>-масса ферромагнитного сердечника, кг</w:t>
      </w:r>
      <w:r>
        <w:rPr>
          <w:snapToGrid w:val="0"/>
          <w:sz w:val="24"/>
          <w:lang w:val="en-US"/>
        </w:rPr>
        <w:t>;</w:t>
      </w:r>
      <w:r>
        <w:rPr>
          <w:snapToGrid w:val="0"/>
          <w:sz w:val="24"/>
        </w:rPr>
        <w:t xml:space="preserve"> Руд – удельная мощность потерь в стали, Вт</w:t>
      </w:r>
      <w:r>
        <w:rPr>
          <w:snapToGrid w:val="0"/>
          <w:sz w:val="24"/>
          <w:lang w:val="en-US"/>
        </w:rPr>
        <w:t>/</w:t>
      </w:r>
      <w:r>
        <w:rPr>
          <w:snapToGrid w:val="0"/>
          <w:sz w:val="24"/>
        </w:rPr>
        <w:t>кг.</w:t>
      </w:r>
    </w:p>
    <w:p w:rsidR="00164F29" w:rsidRDefault="00617CD4">
      <w:pPr>
        <w:widowControl w:val="0"/>
        <w:rPr>
          <w:snapToGrid w:val="0"/>
          <w:sz w:val="24"/>
        </w:rPr>
      </w:pPr>
      <w:r>
        <w:rPr>
          <w:snapToGrid w:val="0"/>
          <w:sz w:val="24"/>
        </w:rPr>
        <w:t xml:space="preserve">        Зависимости </w:t>
      </w:r>
      <w:bookmarkStart w:id="10" w:name="OCRUncertain016"/>
      <w:r>
        <w:rPr>
          <w:snapToGrid w:val="0"/>
          <w:sz w:val="24"/>
        </w:rPr>
        <w:t>.</w:t>
      </w:r>
      <w:bookmarkEnd w:id="10"/>
      <w:r>
        <w:rPr>
          <w:i/>
          <w:snapToGrid w:val="0"/>
          <w:sz w:val="24"/>
        </w:rPr>
        <w:t>Руд</w:t>
      </w:r>
      <w:r>
        <w:rPr>
          <w:snapToGrid w:val="0"/>
          <w:sz w:val="24"/>
        </w:rPr>
        <w:t xml:space="preserve"> от магнитной индукции </w:t>
      </w:r>
      <w:r>
        <w:rPr>
          <w:i/>
          <w:snapToGrid w:val="0"/>
          <w:sz w:val="24"/>
        </w:rPr>
        <w:t>В</w:t>
      </w:r>
      <w:r>
        <w:rPr>
          <w:snapToGrid w:val="0"/>
          <w:sz w:val="24"/>
        </w:rPr>
        <w:t xml:space="preserve"> при данной частоте для различных ферромагнитных материалов приводятся справочных таблицах.</w:t>
      </w:r>
    </w:p>
    <w:p w:rsidR="00164F29" w:rsidRDefault="00164F29">
      <w:pPr>
        <w:widowControl w:val="0"/>
        <w:rPr>
          <w:snapToGrid w:val="0"/>
          <w:sz w:val="24"/>
        </w:rPr>
      </w:pPr>
    </w:p>
    <w:p w:rsidR="00164F29" w:rsidRDefault="00164F29">
      <w:pPr>
        <w:widowControl w:val="0"/>
        <w:jc w:val="center"/>
        <w:rPr>
          <w:snapToGrid w:val="0"/>
          <w:sz w:val="24"/>
        </w:rPr>
      </w:pPr>
    </w:p>
    <w:p w:rsidR="00164F29" w:rsidRDefault="00617CD4">
      <w:pPr>
        <w:pStyle w:val="3"/>
        <w:spacing w:line="240" w:lineRule="auto"/>
      </w:pPr>
      <w:r>
        <w:t>Вектор</w:t>
      </w:r>
      <w:bookmarkStart w:id="11" w:name="OCRUncertain018"/>
      <w:r>
        <w:t>н</w:t>
      </w:r>
      <w:bookmarkEnd w:id="11"/>
      <w:r>
        <w:t>ая диаграмма катушки с учетом потер</w:t>
      </w:r>
      <w:bookmarkStart w:id="12" w:name="OCRUncertain019"/>
      <w:r>
        <w:t xml:space="preserve">ь </w:t>
      </w:r>
      <w:bookmarkEnd w:id="12"/>
      <w:r>
        <w:t>энергии в сердечнике</w:t>
      </w:r>
    </w:p>
    <w:p w:rsidR="00164F29" w:rsidRDefault="00617CD4">
      <w:pPr>
        <w:pStyle w:val="4"/>
        <w:spacing w:line="240" w:lineRule="auto"/>
      </w:pPr>
      <w:r>
        <w:t xml:space="preserve">        Зная магнитные потери, найдем активную составляющую </w:t>
      </w:r>
      <w:bookmarkStart w:id="13" w:name="OCRUncertain020"/>
      <w:r>
        <w:t>квивалентного</w:t>
      </w:r>
      <w:bookmarkEnd w:id="13"/>
      <w:r>
        <w:t xml:space="preserve"> тока катушки</w:t>
      </w:r>
    </w:p>
    <w:p w:rsidR="00164F29" w:rsidRDefault="00617CD4">
      <w:pPr>
        <w:jc w:val="center"/>
        <w:rPr>
          <w:i/>
          <w:sz w:val="24"/>
          <w:lang w:val="en-US"/>
        </w:rPr>
      </w:pPr>
      <w:r>
        <w:rPr>
          <w:i/>
          <w:sz w:val="24"/>
          <w:lang w:val="en-US"/>
        </w:rPr>
        <w:t>I</w:t>
      </w:r>
      <w:r>
        <w:rPr>
          <w:i/>
          <w:sz w:val="24"/>
        </w:rPr>
        <w:t>а=</w:t>
      </w:r>
      <w:r>
        <w:rPr>
          <w:i/>
          <w:sz w:val="24"/>
          <w:lang w:val="en-US"/>
        </w:rPr>
        <w:t>P</w:t>
      </w:r>
      <w:r>
        <w:rPr>
          <w:i/>
          <w:sz w:val="24"/>
        </w:rPr>
        <w:t>м</w:t>
      </w:r>
      <w:r>
        <w:rPr>
          <w:i/>
          <w:sz w:val="24"/>
          <w:lang w:val="en-US"/>
        </w:rPr>
        <w:t>/U</w:t>
      </w:r>
    </w:p>
    <w:p w:rsidR="00164F29" w:rsidRDefault="00617CD4">
      <w:pPr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        </w:t>
      </w:r>
    </w:p>
    <w:p w:rsidR="00164F29" w:rsidRDefault="00617CD4">
      <w:pPr>
        <w:widowControl w:val="0"/>
        <w:jc w:val="both"/>
        <w:rPr>
          <w:i/>
          <w:noProof/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 xml:space="preserve">Упрощенная векторная диаграмма катушки с </w:t>
      </w:r>
      <w:bookmarkStart w:id="14" w:name="OCRUncertain024"/>
      <w:r>
        <w:rPr>
          <w:snapToGrid w:val="0"/>
          <w:sz w:val="24"/>
        </w:rPr>
        <w:t>ферромагнитным</w:t>
      </w:r>
      <w:bookmarkEnd w:id="14"/>
      <w:r>
        <w:rPr>
          <w:snapToGrid w:val="0"/>
          <w:sz w:val="24"/>
        </w:rPr>
        <w:t xml:space="preserve"> сердечником (без учета активного сопротивления обмотки магнитного рассеяния) дана на рис. </w:t>
      </w:r>
      <w:r>
        <w:rPr>
          <w:noProof/>
          <w:snapToGrid w:val="0"/>
          <w:sz w:val="24"/>
        </w:rPr>
        <w:t>4.</w:t>
      </w:r>
      <w:r>
        <w:rPr>
          <w:snapToGrid w:val="0"/>
          <w:sz w:val="24"/>
        </w:rPr>
        <w:t xml:space="preserve"> При построении </w:t>
      </w:r>
      <w:bookmarkStart w:id="15" w:name="OCRUncertain025"/>
      <w:r>
        <w:rPr>
          <w:snapToGrid w:val="0"/>
          <w:sz w:val="24"/>
        </w:rPr>
        <w:t>^аграммы</w:t>
      </w:r>
      <w:bookmarkEnd w:id="15"/>
      <w:r>
        <w:rPr>
          <w:snapToGrid w:val="0"/>
          <w:sz w:val="24"/>
        </w:rPr>
        <w:t xml:space="preserve"> в произвольном направлении </w:t>
      </w:r>
      <w:bookmarkStart w:id="16" w:name="OCRUncertain026"/>
      <w:r>
        <w:rPr>
          <w:snapToGrid w:val="0"/>
          <w:sz w:val="24"/>
        </w:rPr>
        <w:t>1</w:t>
      </w:r>
      <w:bookmarkEnd w:id="16"/>
      <w:r>
        <w:rPr>
          <w:snapToGrid w:val="0"/>
          <w:sz w:val="24"/>
        </w:rPr>
        <w:t>ложен вектор напряжения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U.</w:t>
      </w:r>
      <w:r>
        <w:rPr>
          <w:snapToGrid w:val="0"/>
          <w:sz w:val="24"/>
        </w:rPr>
        <w:t xml:space="preserve"> Под прям</w:t>
      </w:r>
      <w:bookmarkStart w:id="17" w:name="OCRUncertain027"/>
      <w:r>
        <w:rPr>
          <w:snapToGrid w:val="0"/>
          <w:sz w:val="24"/>
        </w:rPr>
        <w:t>ы</w:t>
      </w:r>
      <w:bookmarkEnd w:id="17"/>
      <w:r>
        <w:rPr>
          <w:snapToGrid w:val="0"/>
          <w:sz w:val="24"/>
        </w:rPr>
        <w:t xml:space="preserve">м углом к нему откладывается вектор магнитного потока </w:t>
      </w:r>
      <w:bookmarkStart w:id="18" w:name="OCRUncertain029"/>
      <w:r>
        <w:rPr>
          <w:snapToGrid w:val="0"/>
          <w:sz w:val="24"/>
        </w:rPr>
        <w:t>Ф</w:t>
      </w:r>
      <w:r>
        <w:rPr>
          <w:snapToGrid w:val="0"/>
          <w:sz w:val="24"/>
          <w:lang w:val="en-US"/>
        </w:rPr>
        <w:t>m</w:t>
      </w:r>
      <w:r>
        <w:rPr>
          <w:snapToGrid w:val="0"/>
          <w:sz w:val="24"/>
        </w:rPr>
        <w:t>,</w:t>
      </w:r>
      <w:bookmarkEnd w:id="18"/>
      <w:r>
        <w:rPr>
          <w:snapToGrid w:val="0"/>
          <w:sz w:val="24"/>
        </w:rPr>
        <w:t xml:space="preserve"> который отстает по фазе от напряжения на</w:t>
      </w:r>
      <w:r>
        <w:rPr>
          <w:noProof/>
          <w:snapToGrid w:val="0"/>
          <w:sz w:val="24"/>
        </w:rPr>
        <w:t xml:space="preserve"> 90°. От</w:t>
      </w:r>
      <w:r>
        <w:rPr>
          <w:snapToGrid w:val="0"/>
          <w:sz w:val="24"/>
        </w:rPr>
        <w:t xml:space="preserve"> потока на</w:t>
      </w:r>
      <w:r>
        <w:rPr>
          <w:noProof/>
          <w:snapToGrid w:val="0"/>
          <w:sz w:val="24"/>
        </w:rPr>
        <w:t xml:space="preserve"> 90°</w:t>
      </w:r>
      <w:r>
        <w:rPr>
          <w:snapToGrid w:val="0"/>
          <w:sz w:val="24"/>
        </w:rPr>
        <w:t xml:space="preserve"> отстает </w:t>
      </w:r>
      <w:bookmarkStart w:id="19" w:name="OCRUncertain030"/>
      <w:r>
        <w:rPr>
          <w:snapToGrid w:val="0"/>
          <w:sz w:val="24"/>
        </w:rPr>
        <w:t>ЭДС,</w:t>
      </w:r>
      <w:bookmarkEnd w:id="19"/>
      <w:r>
        <w:rPr>
          <w:snapToGrid w:val="0"/>
          <w:sz w:val="24"/>
        </w:rPr>
        <w:t xml:space="preserve"> величина которой </w:t>
      </w:r>
      <w:bookmarkStart w:id="20" w:name="OCRUncertain032"/>
      <w:r>
        <w:rPr>
          <w:i/>
          <w:snapToGrid w:val="0"/>
          <w:sz w:val="24"/>
        </w:rPr>
        <w:t>Е</w:t>
      </w:r>
      <w:bookmarkEnd w:id="20"/>
      <w:r>
        <w:rPr>
          <w:snapToGrid w:val="0"/>
          <w:sz w:val="24"/>
        </w:rPr>
        <w:t xml:space="preserve"> равна величине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 xml:space="preserve">U. </w:t>
      </w:r>
    </w:p>
    <w:p w:rsidR="00164F29" w:rsidRDefault="00656BDA">
      <w:pPr>
        <w:widowControl w:val="0"/>
        <w:jc w:val="both"/>
        <w:rPr>
          <w:i/>
          <w:noProof/>
          <w:snapToGrid w:val="0"/>
          <w:sz w:val="24"/>
        </w:rPr>
      </w:pPr>
      <w:r>
        <w:rPr>
          <w:noProof/>
          <w:sz w:val="24"/>
        </w:rPr>
        <w:pict>
          <v:shape id="_x0000_s1029" type="#_x0000_t75" style="position:absolute;left:0;text-align:left;margin-left:138.15pt;margin-top:17.1pt;width:174pt;height:167.35pt;z-index:251658752;mso-position-horizontal:absolute;mso-position-horizontal-relative:text;mso-position-vertical:absolute;mso-position-vertical-relative:text" o:allowincell="f">
            <v:imagedata r:id="rId9" o:title="4" gain="2147483647f"/>
            <w10:wrap type="topAndBottom"/>
          </v:shape>
        </w:pict>
      </w:r>
    </w:p>
    <w:p w:rsidR="00164F29" w:rsidRDefault="00164F29">
      <w:pPr>
        <w:widowControl w:val="0"/>
        <w:jc w:val="both"/>
        <w:rPr>
          <w:i/>
          <w:noProof/>
          <w:snapToGrid w:val="0"/>
          <w:sz w:val="24"/>
        </w:rPr>
      </w:pPr>
    </w:p>
    <w:p w:rsidR="00164F29" w:rsidRDefault="00617CD4">
      <w:pPr>
        <w:widowControl w:val="0"/>
        <w:jc w:val="center"/>
        <w:rPr>
          <w:snapToGrid w:val="0"/>
          <w:sz w:val="24"/>
        </w:rPr>
      </w:pPr>
      <w:r>
        <w:rPr>
          <w:snapToGrid w:val="0"/>
          <w:sz w:val="24"/>
        </w:rPr>
        <w:t>рис.4</w:t>
      </w:r>
    </w:p>
    <w:p w:rsidR="00164F29" w:rsidRDefault="00164F29">
      <w:pPr>
        <w:widowControl w:val="0"/>
        <w:jc w:val="both"/>
        <w:rPr>
          <w:snapToGrid w:val="0"/>
          <w:sz w:val="24"/>
        </w:rPr>
      </w:pPr>
    </w:p>
    <w:p w:rsidR="00164F29" w:rsidRDefault="00164F29">
      <w:pPr>
        <w:widowControl w:val="0"/>
        <w:jc w:val="both"/>
        <w:rPr>
          <w:snapToGrid w:val="0"/>
          <w:sz w:val="24"/>
        </w:rPr>
      </w:pPr>
    </w:p>
    <w:p w:rsidR="00164F29" w:rsidRDefault="00617CD4">
      <w:pPr>
        <w:widowControl w:val="0"/>
        <w:jc w:val="both"/>
        <w:rPr>
          <w:snapToGrid w:val="0"/>
          <w:sz w:val="24"/>
          <w:lang w:val="en-US"/>
        </w:rPr>
      </w:pPr>
      <w:r>
        <w:rPr>
          <w:snapToGrid w:val="0"/>
          <w:sz w:val="24"/>
        </w:rPr>
        <w:t xml:space="preserve">        Активная составляющая тока совпа</w:t>
      </w:r>
      <w:r>
        <w:rPr>
          <w:snapToGrid w:val="0"/>
          <w:sz w:val="24"/>
        </w:rPr>
        <w:softHyphen/>
      </w:r>
      <w:bookmarkStart w:id="21" w:name="OCRUncertain034"/>
      <w:r>
        <w:rPr>
          <w:snapToGrid w:val="0"/>
          <w:sz w:val="24"/>
        </w:rPr>
        <w:t>д</w:t>
      </w:r>
      <w:bookmarkEnd w:id="21"/>
      <w:r>
        <w:rPr>
          <w:snapToGrid w:val="0"/>
          <w:sz w:val="24"/>
        </w:rPr>
        <w:t xml:space="preserve">ет по фазе с напряжением, а полный ток катушки отстает от напряжения на угол </w:t>
      </w:r>
      <w:r>
        <w:rPr>
          <w:snapToGrid w:val="0"/>
          <w:sz w:val="24"/>
        </w:rPr>
        <w:sym w:font="Symbol" w:char="F06A"/>
      </w:r>
      <w:r>
        <w:rPr>
          <w:snapToGrid w:val="0"/>
          <w:sz w:val="24"/>
          <w:lang w:val="en-US"/>
        </w:rPr>
        <w:t>:</w:t>
      </w:r>
    </w:p>
    <w:p w:rsidR="00164F29" w:rsidRDefault="00164F29">
      <w:pPr>
        <w:widowControl w:val="0"/>
        <w:jc w:val="both"/>
        <w:rPr>
          <w:snapToGrid w:val="0"/>
          <w:sz w:val="24"/>
        </w:rPr>
      </w:pPr>
    </w:p>
    <w:p w:rsidR="00164F29" w:rsidRDefault="00617CD4">
      <w:pPr>
        <w:widowControl w:val="0"/>
        <w:jc w:val="center"/>
        <w:rPr>
          <w:rFonts w:ascii="Arial" w:hAnsi="Arial"/>
          <w:i/>
          <w:snapToGrid w:val="0"/>
          <w:sz w:val="24"/>
          <w:lang w:val="en-US"/>
        </w:rPr>
      </w:pPr>
      <w:bookmarkStart w:id="22" w:name="OCRUncertain038"/>
      <w:r>
        <w:rPr>
          <w:rFonts w:ascii="Arial" w:hAnsi="Arial"/>
          <w:i/>
          <w:snapToGrid w:val="0"/>
          <w:sz w:val="24"/>
          <w:lang w:val="en-US"/>
        </w:rPr>
        <w:t>c</w:t>
      </w:r>
      <w:bookmarkEnd w:id="22"/>
      <w:r>
        <w:rPr>
          <w:rFonts w:ascii="Arial" w:hAnsi="Arial"/>
          <w:i/>
          <w:snapToGrid w:val="0"/>
          <w:sz w:val="24"/>
          <w:lang w:val="en-US"/>
        </w:rPr>
        <w:t>os</w:t>
      </w:r>
      <w:bookmarkStart w:id="23" w:name="OCRUncertain039"/>
      <w:r>
        <w:rPr>
          <w:rFonts w:ascii="Arial" w:hAnsi="Arial"/>
          <w:i/>
          <w:snapToGrid w:val="0"/>
          <w:sz w:val="24"/>
          <w:lang w:val="en-US"/>
        </w:rPr>
        <w:sym w:font="Symbol" w:char="F06A"/>
      </w:r>
      <w:r>
        <w:rPr>
          <w:rFonts w:ascii="Arial" w:hAnsi="Arial"/>
          <w:i/>
          <w:snapToGrid w:val="0"/>
          <w:sz w:val="24"/>
          <w:lang w:val="en-US"/>
        </w:rPr>
        <w:t>=</w:t>
      </w:r>
      <w:bookmarkEnd w:id="23"/>
      <w:r>
        <w:rPr>
          <w:rFonts w:ascii="Arial" w:hAnsi="Arial"/>
          <w:i/>
          <w:snapToGrid w:val="0"/>
          <w:sz w:val="24"/>
          <w:lang w:val="en-US"/>
        </w:rPr>
        <w:t>Pм/UI</w:t>
      </w:r>
    </w:p>
    <w:p w:rsidR="00164F29" w:rsidRDefault="00164F29">
      <w:pPr>
        <w:widowControl w:val="0"/>
        <w:jc w:val="center"/>
        <w:rPr>
          <w:rFonts w:ascii="Arial" w:hAnsi="Arial"/>
          <w:i/>
          <w:snapToGrid w:val="0"/>
          <w:sz w:val="24"/>
          <w:lang w:val="en-US"/>
        </w:rPr>
      </w:pPr>
    </w:p>
    <w:p w:rsidR="00164F29" w:rsidRDefault="00617CD4">
      <w:pPr>
        <w:pStyle w:val="20"/>
      </w:pPr>
      <w:r>
        <w:rPr>
          <w:lang w:val="en-US"/>
        </w:rPr>
        <w:t xml:space="preserve">        </w:t>
      </w:r>
      <w:r>
        <w:t xml:space="preserve">Реактивная составляющая тока катушки </w:t>
      </w:r>
      <w:bookmarkStart w:id="24" w:name="OCRUncertain041"/>
      <w:r>
        <w:rPr>
          <w:lang w:val="en-US"/>
        </w:rPr>
        <w:t>I</w:t>
      </w:r>
      <w:r>
        <w:rPr>
          <w:vertAlign w:val="subscript"/>
        </w:rPr>
        <w:sym w:font="Symbol" w:char="F06D"/>
      </w:r>
      <w:r>
        <w:rPr>
          <w:vertAlign w:val="subscript"/>
        </w:rPr>
        <w:t xml:space="preserve"> </w:t>
      </w:r>
      <w:r>
        <w:t xml:space="preserve">совпадающая по </w:t>
      </w:r>
      <w:bookmarkEnd w:id="24"/>
      <w:r>
        <w:t xml:space="preserve">фазе с магнитным потоком, называется </w:t>
      </w:r>
      <w:bookmarkStart w:id="25" w:name="OCRUncertain042"/>
      <w:r>
        <w:t>намагничивающ</w:t>
      </w:r>
      <w:bookmarkEnd w:id="25"/>
      <w:r>
        <w:t>им током</w:t>
      </w:r>
    </w:p>
    <w:p w:rsidR="00164F29" w:rsidRDefault="00656BDA">
      <w:pPr>
        <w:widowControl w:val="0"/>
        <w:spacing w:before="60"/>
        <w:jc w:val="both"/>
        <w:rPr>
          <w:noProof/>
          <w:snapToGrid w:val="0"/>
          <w:sz w:val="24"/>
        </w:rPr>
      </w:pPr>
      <w:r>
        <w:rPr>
          <w:noProof/>
          <w:sz w:val="24"/>
        </w:rPr>
        <w:object w:dxaOrig="1440" w:dyaOrig="1440">
          <v:shape id="_x0000_s1030" type="#_x0000_t75" style="position:absolute;left:0;text-align:left;margin-left:166.95pt;margin-top:16.55pt;width:78pt;height:21pt;z-index:251659776;mso-position-horizontal:absolute;mso-position-horizontal-relative:text;mso-position-vertical:absolute;mso-position-vertical-relative:text" o:allowincell="f">
            <v:imagedata r:id="rId10" o:title=""/>
            <w10:wrap type="topAndBottom"/>
          </v:shape>
          <o:OLEObject Type="Embed" ProgID="Equation.3" ShapeID="_x0000_s1030" DrawAspect="Content" ObjectID="_1453467322" r:id="rId11"/>
        </w:object>
      </w:r>
    </w:p>
    <w:p w:rsidR="00164F29" w:rsidRDefault="00617CD4">
      <w:pPr>
        <w:widowControl w:val="0"/>
        <w:ind w:left="120"/>
        <w:jc w:val="both"/>
        <w:rPr>
          <w:snapToGrid w:val="0"/>
          <w:sz w:val="24"/>
        </w:rPr>
      </w:pPr>
      <w:r>
        <w:rPr>
          <w:snapToGrid w:val="0"/>
          <w:sz w:val="24"/>
        </w:rPr>
        <w:t>Угол</w:t>
      </w:r>
      <w:r>
        <w:rPr>
          <w:noProof/>
          <w:snapToGrid w:val="0"/>
          <w:sz w:val="24"/>
        </w:rPr>
        <w:t xml:space="preserve"> </w:t>
      </w:r>
      <w:r>
        <w:rPr>
          <w:noProof/>
          <w:snapToGrid w:val="0"/>
          <w:sz w:val="24"/>
        </w:rPr>
        <w:sym w:font="Symbol" w:char="F064"/>
      </w:r>
      <w:r>
        <w:rPr>
          <w:snapToGrid w:val="0"/>
          <w:sz w:val="24"/>
        </w:rPr>
        <w:t xml:space="preserve"> между векторами полного тока катушки и </w:t>
      </w:r>
      <w:bookmarkStart w:id="26" w:name="OCRUncertain043"/>
      <w:r>
        <w:rPr>
          <w:snapToGrid w:val="0"/>
          <w:sz w:val="24"/>
        </w:rPr>
        <w:t>магнитн</w:t>
      </w:r>
      <w:r>
        <w:rPr>
          <w:snapToGrid w:val="0"/>
          <w:sz w:val="24"/>
          <w:lang w:val="en-US"/>
        </w:rPr>
        <w:t>oro</w:t>
      </w:r>
      <w:bookmarkEnd w:id="26"/>
      <w:r>
        <w:rPr>
          <w:snapToGrid w:val="0"/>
          <w:sz w:val="24"/>
        </w:rPr>
        <w:t xml:space="preserve"> потока называется углом потерь:</w:t>
      </w:r>
    </w:p>
    <w:p w:rsidR="00164F29" w:rsidRDefault="00617CD4">
      <w:pPr>
        <w:jc w:val="center"/>
        <w:rPr>
          <w:i/>
          <w:sz w:val="24"/>
          <w:lang w:val="en-US"/>
        </w:rPr>
      </w:pPr>
      <w:r>
        <w:rPr>
          <w:sz w:val="24"/>
          <w:lang w:val="en-US"/>
        </w:rPr>
        <w:t>tg</w:t>
      </w:r>
      <w:r>
        <w:rPr>
          <w:sz w:val="24"/>
          <w:lang w:val="en-US"/>
        </w:rPr>
        <w:sym w:font="Symbol" w:char="F064"/>
      </w:r>
      <w:r>
        <w:rPr>
          <w:sz w:val="24"/>
          <w:lang w:val="en-US"/>
        </w:rPr>
        <w:t xml:space="preserve"> = </w:t>
      </w:r>
      <w:r>
        <w:rPr>
          <w:i/>
          <w:sz w:val="24"/>
          <w:lang w:val="en-US"/>
        </w:rPr>
        <w:t>Ia/I</w:t>
      </w:r>
      <w:r>
        <w:rPr>
          <w:i/>
          <w:sz w:val="24"/>
          <w:lang w:val="en-US"/>
        </w:rPr>
        <w:sym w:font="Symbol" w:char="F06D"/>
      </w:r>
    </w:p>
    <w:p w:rsidR="00164F29" w:rsidRDefault="00164F29">
      <w:pPr>
        <w:widowControl w:val="0"/>
        <w:jc w:val="both"/>
        <w:rPr>
          <w:snapToGrid w:val="0"/>
          <w:sz w:val="24"/>
        </w:rPr>
      </w:pPr>
    </w:p>
    <w:p w:rsidR="00164F29" w:rsidRDefault="00164F29">
      <w:pPr>
        <w:jc w:val="both"/>
        <w:rPr>
          <w:sz w:val="24"/>
        </w:rPr>
      </w:pPr>
      <w:bookmarkStart w:id="27" w:name="_GoBack"/>
      <w:bookmarkEnd w:id="27"/>
    </w:p>
    <w:sectPr w:rsidR="00164F29">
      <w:footerReference w:type="even" r:id="rId12"/>
      <w:footerReference w:type="default" r:id="rId13"/>
      <w:pgSz w:w="11906" w:h="16838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F29" w:rsidRDefault="00617CD4">
      <w:r>
        <w:separator/>
      </w:r>
    </w:p>
  </w:endnote>
  <w:endnote w:type="continuationSeparator" w:id="0">
    <w:p w:rsidR="00164F29" w:rsidRDefault="00617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F29" w:rsidRDefault="00617CD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164F29" w:rsidRDefault="00164F2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F29" w:rsidRDefault="00617CD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56BDA">
      <w:rPr>
        <w:rStyle w:val="a6"/>
        <w:noProof/>
      </w:rPr>
      <w:t>1</w:t>
    </w:r>
    <w:r>
      <w:rPr>
        <w:rStyle w:val="a6"/>
      </w:rPr>
      <w:fldChar w:fldCharType="end"/>
    </w:r>
  </w:p>
  <w:p w:rsidR="00164F29" w:rsidRDefault="00164F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F29" w:rsidRDefault="00617CD4">
      <w:r>
        <w:separator/>
      </w:r>
    </w:p>
  </w:footnote>
  <w:footnote w:type="continuationSeparator" w:id="0">
    <w:p w:rsidR="00164F29" w:rsidRDefault="00617C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7CD4"/>
    <w:rsid w:val="00164F29"/>
    <w:rsid w:val="00617CD4"/>
    <w:rsid w:val="0065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1D08FE6D-C9DE-41AD-B751-A5582B86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i/>
      <w:sz w:val="24"/>
    </w:rPr>
  </w:style>
  <w:style w:type="paragraph" w:styleId="2">
    <w:name w:val="heading 2"/>
    <w:basedOn w:val="a"/>
    <w:next w:val="a"/>
    <w:qFormat/>
    <w:pPr>
      <w:keepNext/>
      <w:widowControl w:val="0"/>
      <w:spacing w:line="220" w:lineRule="exact"/>
      <w:ind w:left="1400" w:right="1380"/>
      <w:jc w:val="center"/>
      <w:outlineLvl w:val="1"/>
    </w:pPr>
    <w:rPr>
      <w:i/>
      <w:snapToGrid w:val="0"/>
      <w:sz w:val="24"/>
    </w:rPr>
  </w:style>
  <w:style w:type="paragraph" w:styleId="3">
    <w:name w:val="heading 3"/>
    <w:basedOn w:val="a"/>
    <w:next w:val="a"/>
    <w:qFormat/>
    <w:pPr>
      <w:keepNext/>
      <w:widowControl w:val="0"/>
      <w:spacing w:before="60" w:line="200" w:lineRule="exact"/>
      <w:ind w:left="640" w:right="760"/>
      <w:jc w:val="center"/>
      <w:outlineLvl w:val="2"/>
    </w:pPr>
    <w:rPr>
      <w:b/>
      <w:i/>
      <w:snapToGrid w:val="0"/>
      <w:sz w:val="24"/>
    </w:rPr>
  </w:style>
  <w:style w:type="paragraph" w:styleId="4">
    <w:name w:val="heading 4"/>
    <w:basedOn w:val="a"/>
    <w:next w:val="a"/>
    <w:qFormat/>
    <w:pPr>
      <w:keepNext/>
      <w:widowControl w:val="0"/>
      <w:spacing w:line="220" w:lineRule="exact"/>
      <w:jc w:val="both"/>
      <w:outlineLvl w:val="3"/>
    </w:pPr>
    <w:rPr>
      <w:snapToGrid w:val="0"/>
      <w:sz w:val="24"/>
    </w:rPr>
  </w:style>
  <w:style w:type="paragraph" w:styleId="5">
    <w:name w:val="heading 5"/>
    <w:basedOn w:val="a"/>
    <w:next w:val="a"/>
    <w:qFormat/>
    <w:pPr>
      <w:keepNext/>
      <w:widowControl w:val="0"/>
      <w:spacing w:before="60"/>
      <w:jc w:val="center"/>
      <w:outlineLvl w:val="4"/>
    </w:pPr>
    <w:rPr>
      <w:snapToGrid w:val="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28"/>
    </w:rPr>
  </w:style>
  <w:style w:type="paragraph" w:styleId="a4">
    <w:name w:val="Body Text"/>
    <w:basedOn w:val="a"/>
    <w:semiHidden/>
    <w:pPr>
      <w:jc w:val="both"/>
    </w:pPr>
    <w:rPr>
      <w:sz w:val="24"/>
    </w:rPr>
  </w:style>
  <w:style w:type="paragraph" w:styleId="20">
    <w:name w:val="Body Text 2"/>
    <w:basedOn w:val="a"/>
    <w:semiHidden/>
    <w:pPr>
      <w:widowControl w:val="0"/>
      <w:ind w:right="80"/>
      <w:jc w:val="both"/>
    </w:pPr>
    <w:rPr>
      <w:snapToGrid w:val="0"/>
      <w:sz w:val="24"/>
    </w:r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</w:style>
  <w:style w:type="character" w:styleId="a6">
    <w:name w:val="page number"/>
    <w:basedOn w:val="a0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Влияние гистерезиса и вихревых токов </vt:lpstr>
    </vt:vector>
  </TitlesOfParts>
  <Company>ITS</Company>
  <LinksUpToDate>false</LinksUpToDate>
  <CharactersWithSpaces>5911</CharactersWithSpaces>
  <SharedDoc>false</SharedDoc>
  <HLinks>
    <vt:vector size="24" baseType="variant">
      <vt:variant>
        <vt:i4>393227</vt:i4>
      </vt:variant>
      <vt:variant>
        <vt:i4>-1</vt:i4>
      </vt:variant>
      <vt:variant>
        <vt:i4>1026</vt:i4>
      </vt:variant>
      <vt:variant>
        <vt:i4>1</vt:i4>
      </vt:variant>
      <vt:variant>
        <vt:lpwstr>C:\666\1.JPG</vt:lpwstr>
      </vt:variant>
      <vt:variant>
        <vt:lpwstr/>
      </vt:variant>
      <vt:variant>
        <vt:i4>327691</vt:i4>
      </vt:variant>
      <vt:variant>
        <vt:i4>-1</vt:i4>
      </vt:variant>
      <vt:variant>
        <vt:i4>1027</vt:i4>
      </vt:variant>
      <vt:variant>
        <vt:i4>1</vt:i4>
      </vt:variant>
      <vt:variant>
        <vt:lpwstr>C:\666\2.JPG</vt:lpwstr>
      </vt:variant>
      <vt:variant>
        <vt:lpwstr/>
      </vt:variant>
      <vt:variant>
        <vt:i4>262155</vt:i4>
      </vt:variant>
      <vt:variant>
        <vt:i4>-1</vt:i4>
      </vt:variant>
      <vt:variant>
        <vt:i4>1028</vt:i4>
      </vt:variant>
      <vt:variant>
        <vt:i4>1</vt:i4>
      </vt:variant>
      <vt:variant>
        <vt:lpwstr>C:\666\3.JPG</vt:lpwstr>
      </vt:variant>
      <vt:variant>
        <vt:lpwstr/>
      </vt:variant>
      <vt:variant>
        <vt:i4>196619</vt:i4>
      </vt:variant>
      <vt:variant>
        <vt:i4>-1</vt:i4>
      </vt:variant>
      <vt:variant>
        <vt:i4>1029</vt:i4>
      </vt:variant>
      <vt:variant>
        <vt:i4>1</vt:i4>
      </vt:variant>
      <vt:variant>
        <vt:lpwstr>C:\666\4.JPG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Влияние гистерезиса и вихревых токов </dc:title>
  <dc:subject/>
  <dc:creator>Macrohead</dc:creator>
  <cp:keywords/>
  <cp:lastModifiedBy>admin</cp:lastModifiedBy>
  <cp:revision>2</cp:revision>
  <dcterms:created xsi:type="dcterms:W3CDTF">2014-02-09T14:09:00Z</dcterms:created>
  <dcterms:modified xsi:type="dcterms:W3CDTF">2014-02-09T14:09:00Z</dcterms:modified>
</cp:coreProperties>
</file>