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Влияние инфляционных процессов, на оценку инвестиционных проектов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инфляции — один из факторов, которые всегда должны учитываться в инвестиционных расчетах, даже если темпы роста цен и невысоки. Тем более остра эта проблема для России, живущей уже несколько лет в условиях галопирующей инфляции. Инфляция заметно меняет выгодность тех или иных проектов, как ориентированных на внутренний рынок, так и делающих ставку на экспорт продукции российских предприятий. Проанализировав, например, развитие рынка энергоносителей за январь — июнь 1994 г., мы обнаружим, что к концу этого периода в выгодности экспорта некоторых их видов произошли заметные изменения.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Сознавая такую значимость инфляционных процессов для принятия решений о приемлемости инвестиций, рассмотрим далее некоторые связанные с этим проблемы, начав с повторения ряда общих понятий об инфляции, что позволит нам далее понимать все однозначно.</w:t>
      </w:r>
    </w:p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Сущность и измерители инфляции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вдаваясь в теоретические дискуссии о природе и причинах инфляции, ограничимся чисто техническим подходом, приняв за отправную точку то, что инфляция — это процесс роста средних цен. Соответственно и измерение инфляции идет через измерение роста цен, и в первую очередь через показатели роста цен в процентах. Например, увеличение цен в течение года с 1,2 млн. до 1,9 млн. руб. означает, что их рост составил 58,3% (1,2:1,9 • 100).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менее, если не более часто для измерения инфляции используют также индексы цен, т. е. относительные показатели, характеризующие темпы роста цен. Существует множество видов как формул для расчета индексов цен, так и самих этих индексов.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как показывает практика, чаще всего как наиболее универсальный показатель используется индекс потребительских цен (ИПЦ), определяемый как средневзвешенный индекс цен по корзине потребительских товаров и услуг, взвешенных по структуре приобретения этих товаров и услуг типичным потребителем данной страны.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этим достаточно широко используются также: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индекс отпускных цен производителей и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дефлятор валового национального продукта (ВНП), т. е. индекс изменения цен в среднем по всей экономике в целом. Важно также различать базисные и цепные индексы цен.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расчете базисных индексов роста данные за некоторый момент времени принимаются за базу, а индексы роста определяются путем деления показателей в каждый момент времени на показатель в момент времени, принятый за базу.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расчете цепных индексов производится деление значения показателя в последующий момент времени на соответствующий показатель в предыдущий момент времени.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Допустим, необходимо вычислить цепные и базисные индексы цен на цемент в течение нескольких месяцев 1993 г., если известно, что в сентябре 1 т стоила 130 тыс. руб., в октябре — 155 тыс. руб., в ноябре — 210 тыс. руб., в декабре — 231 тыс.руб.150/130*100%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определения цепного индекса I цены на цемент в октябре по отношению к сентябрю надо цену в октябре разделить на цену в сентябре и выразить это в процентах, т. е. умножить на 100%: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цены в ноябре к цене в октябре: 155/130*100%=119%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индексы означают, что цена цемента повысилась в октябре на 19% по сравнению с ценой в сентябре, в ноябре на 35% по сравнению с октябрем и в декабре на 10% по сравнению с ноябрем.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использовании этих же данных можно вычислить базисные индексы изменения цен, если принять за базу, например, цену цемента в сентябре. Для вычисления базисных индексов надо цену за каждый месяц отнести к цене базового месяца. В нашем примере это будут отношения цен в октябре, ноябре и декабре к ценам в сентябре, выраженные в процентах. Базисный индекс октября к сентябрю совпадает с цепным индексом октября к сентябрю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цепных индексов всегда можно получить базисный. </w:t>
      </w:r>
    </w:p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Текущие и неизменные цены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Прямое практическое использование индексов цен в рамках инвестиционного анализа связано с расчетом неизменных цен. Такие цены определяются на основе текущих цен, т. е. цен, по которым реально можно приобрести товар в данный момент времени. Именно благодаря индексам цен можно перейти от текущих цен к неизменным, т. е. к ценам, отражающим стабильную покупательную способность валюты страны инвестирования. Обычно при расчете базовых цен органами статистики устанавливается некий «стартовый» год, уровни цен которого принимаются за единицу и по отношению к которому и определяется вся последующая динамика цен.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таких рядов базисных индексов цен расчет неизменных цен может быть произведен по следующей формуле: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Рн</w:t>
      </w:r>
      <w:r>
        <w:rPr>
          <w:color w:val="000000"/>
          <w:sz w:val="24"/>
          <w:szCs w:val="24"/>
          <w:lang w:val="en-US"/>
        </w:rPr>
        <w:t xml:space="preserve"> = Pt/(PIt/Pib)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Рн— стоимость товаров в неизменных ценах; Рт — стоимость товара в t-м году в текущих ценах;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— базисный индекс цен в году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  <w:lang w:val="en-US"/>
        </w:rPr>
        <w:t>PIb</w:t>
      </w:r>
      <w:r>
        <w:rPr>
          <w:color w:val="000000"/>
          <w:sz w:val="24"/>
          <w:szCs w:val="24"/>
        </w:rPr>
        <w:t xml:space="preserve">— базисный индекс цен в стартовом году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Такого рода зависимости широко используются при прогнозировании будущих потоков денежных поступлений по инвестиционным проектам. Речь идет о том, что денежные поступления и выгоды от реализации проекта прогнозируются в неизменных ценах, а затем — на основе тех или иных прогнозов инфляции — приводятся к текущим ценам будущих лет.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этого, соответственно, используем формулу, находя из нее Р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:</w:t>
      </w:r>
    </w:p>
    <w:p w:rsidR="00E6507C" w:rsidRDefault="006521C2">
      <w:pPr>
        <w:spacing w:before="120" w:line="240" w:lineRule="auto"/>
        <w:ind w:firstLine="567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российской практике более распространено использование цепных индексов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серьезная проблема, связанная с учетом инфляции в инвестиционных расчетах, состоит в оценке изменений пропорций цен. Суть этой проблемы в том, что даже в период галопирующей инфляции, когда все цены в экономике как бы «несутся» на гребне некоего макроэкономического процесса, они все же меняются и относительно друг друга, поскольку некоторые товары дорожают медленнее, чем другие.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если обратиться к российской статистике цен, взяв уже упоминавшийся нами выше период с января по июнь 1994 г., то мы обнаружим, что за этот период цена нефти возросла в 3,89 раза, тогда как цена угля для коксования — только в 2,11 раза, а энергетического угля — лишь в 1,7 раза. Столь же разительно различались и темпы роста цен на топочное и моторное топливо — при росте цен на дизельное топливо и топочный мазут в 1,64 — 1,65 цена на бензин повысилась лишь в 1,43 раза. Иными словами, за январь — июнь бензин подешевел по отношению к дизельному топливу на 13% [100-(1,43:1,65) • 100].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Нетрудно представить, сколь существенно может быть влияние таких относительных сдвигов в ценах (изменений пропорций цен) на приемлемость инвестиционных проектов, связанных, например, с созданием новых электростанций и выбором для них вида топлива, либо для проектов развития производства дизельных автомобильных двигателей вместо двигателей, работающих на бензине.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столь искусительная в условиях высокой инфляции идея проведения всех расчетов в неизменных ценах, например путем выражения всех стоимостных величин в конвертируемой валюте, может привести к ошибкам. Например, за 1992 — 1994 гг. заработная плата в России в долларовом исчислении возросла более чем в 10 раз и продолжает повышаться при все более отстающей динамике цен на оборудование. Очевидно, что столь резкие сдвиги в оценке ресурсов производства не могут не сказываться весьма существенно на результатах оценки инвестиционных проектов.</w:t>
      </w:r>
    </w:p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 из наиболее заметных внешних проявлений инфляции — рост процентных ставок по депозитам и кредитам и желательных уровней доходности инвестиций. Это, например, было хорошо видно на российском финансовом рынке в первой половине 1994 г., 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Понимание этого процесса становится более легким, когда мы отталкиваемой от концепции номинальных и реальных процентных ставок По определению номинальная процентная ставка показывает каким-либо образом оговоренную ставку доходности по инвестированным либо суженным  денежным суммам и рост этой суммы за определенный период времени в процентах. В отличие от номинальной реальная процентная ставка показывает рост покупательной способности первоначально инвестированных или ссуженных денежньых сумм с учетом как номинальной процентной ставки, так и темпа инфляции характеризует изменение реальной стоимости денег.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 реальной стоимости денег обратно пропорционален индексу инфляции, то есть среднегодовому индексу прироста цен Евли принять, что индекс инфляции (среднегодовой индекс прироста) равен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что он не меняется год от года, то за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лет индекс равен (1+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)^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а индекс покупательной способности соответственно: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Ip.p=1/(1+h)^n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реальная стоимость денег в будущем тем больше, чем выше процентная ставка, и тем меньше, чем выше индекс инфляции. Приняв, например, что индекс инфляции равен 50% в год, получим, что реальная стоимость 10 000 руб.. вложенных под 60%, через 10 лет составит 19 067 руб. при номинальной стоимости 1 099 500 руб. Это означает, что через 10 лет на 1 099 500 руб. можно будет купить товаров столько, сколько сейчас на 19 067 руб. Если индекс инфляции выше принятой процентной ставки, то реальная стоимость положенной в банк суммы в будущем окажется даже ниже, чем в настоящее время.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и уровень инфляции, и процентная ставка на практике не остаются неизменными в течение длительного периода. Это также может быть отражено в формуле расчета реальной стоимости денег в будущем, если несколько усложнить ее, не изменив сути и характера зависимости этого показателя от процентной ставки и уровня инфляции.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формула, позволяющая определить величину реальной процентной ставки, будет иметь вид: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реал= (1+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ном)/(1+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)-1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— номинальная процентная ставка; h — темп инфляции. 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Завершая эту тему, нельзя не упомянуть о категории инфляционных ожиданий  т. е. о тех прогнозах инфляции, из которых исходят кредиторы и заемщики. Завышенность таких ожиданий может иногда стать причиной серьезных потерь при непродуманной финансовой политике. Например, в первой половине 1994 г. некоторые российские коммерческие банки исходили из сохранения в будущем столь же высоких темпов инфляции, как и в конце 1993 г., а потому предлагали потенциальным вкладчикам размещение средств под фиксированную на 6 месяцев ставку на уровне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290 — 300%.</w:t>
      </w:r>
      <w:r>
        <w:rPr>
          <w:color w:val="000000"/>
          <w:sz w:val="24"/>
          <w:szCs w:val="24"/>
        </w:rPr>
        <w:t xml:space="preserve"> При этом они исходили из того, что смогут инвестировать привлеченные таким образом дополнительные денежные средства через межбанковский рынок под еще более высокий процент. Однако уже к лету вследствие заметного снижения темпов инфляции ставка межбанковских кредитов упала в годовом исчислении до 150%, и, следовательно, для вкладчиков реальная ставка стала резко положительной, тогда как маржа банков заметно упала, а в некоторых случаях могла оказаться и отрицательной.</w:t>
      </w:r>
    </w:p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Влияние инфляции на доходы фирмы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инфляции на доходы фирм проявляется многообразно, но общим знаменателем является уже упоминавшееся нами явление — изменение относительных пропорций цен и кредитно-финансовых показателей. К наиболее серьезным проблемам, опираясь как на мировой, так и на российский опыт, следует отнести: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различие в динамике цен реализации готовой продукции и закупаемых для ее производства ресурсов;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различие в динамике цен реализации готовой продукции и ставок процента по привлеченным денежным средствам;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различие в динамике стоимости новых реальных активов и величин амортизационных фондов;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влияние инфляции на динамику доходности проектов;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изменение денежных потоков под влиянием задержек в расчетах и других факторов, значимость которых усиливается при высокой инфляции.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частности, российский опыт 1992 — 1994 гг. наглядно продемонстрировал сложность взаимосвязей инфляции и оборотных средств предприятий, а также возможность уничтожения инфляцией потенциала самоинвестирования фирм в силу отставания темпов переоценки основных фондов и корректировок ставок амортизации от реальных темпов инфляции. Поэтому мы начнем наш анализ с проблем оборотных средств.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Оценка запасов. Мировая практика бухгалтерского учета, столкнувшись с проблемой высокой инфляции, разработала два метода учета приобретаемых материальных ресурсов: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ФИФО, первый в приход, первый в расход (англ. </w:t>
      </w:r>
      <w:r>
        <w:rPr>
          <w:color w:val="000000"/>
          <w:sz w:val="24"/>
          <w:szCs w:val="24"/>
          <w:lang w:val="en-US"/>
        </w:rPr>
        <w:t>FIFO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first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first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out</w:t>
      </w:r>
      <w:r>
        <w:rPr>
          <w:color w:val="000000"/>
          <w:sz w:val="24"/>
          <w:szCs w:val="24"/>
        </w:rPr>
        <w:t>), — материальные ресурсы, имеющиеся на складе, оцениваются при отпуске в производство по цене партии с наиболее ранней датой приобретения;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ЛИФО, последний в приход, первый в расход (англ. </w:t>
      </w:r>
      <w:r>
        <w:rPr>
          <w:color w:val="000000"/>
          <w:sz w:val="24"/>
          <w:szCs w:val="24"/>
          <w:lang w:val="en-US"/>
        </w:rPr>
        <w:t>LIFO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last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first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out</w:t>
      </w:r>
      <w:r>
        <w:rPr>
          <w:color w:val="000000"/>
          <w:sz w:val="24"/>
          <w:szCs w:val="24"/>
        </w:rPr>
        <w:t>); — материальные ресурсы, имеющиеся на складе, оцениваются при отпуске в производство по цене партии с наиболее поздней датой приобретения.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Отметим, что независимо от того, использует ли фирма метод ЛИФО или ФИФО, влияние инфляции проявится прежде всего в росте ее доходов, если спрос на ее продукцию допускает хотя бы минимальный рост цен. Причина проста: продажа идет по ценам, отражающим реалии дня сегодняшнего, тогда как стоимость запасов — в любом случае реалии дня вчерашнего, когда эти закупки были произведены (даже при системе поставок без складских запасов — «точно в срок» (англ. </w:t>
      </w:r>
      <w:r>
        <w:rPr>
          <w:color w:val="000000"/>
          <w:sz w:val="24"/>
          <w:szCs w:val="24"/>
          <w:lang w:val="en-US"/>
        </w:rPr>
        <w:t>just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time</w:t>
      </w:r>
      <w:r>
        <w:rPr>
          <w:color w:val="000000"/>
          <w:sz w:val="24"/>
          <w:szCs w:val="24"/>
        </w:rPr>
        <w:t>), когда зазор становится минимальным, но все равно сохраняется).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использование метода ФИФО в условиях инфляции приводит к более опережающему росту доходов по сравнению с затратами, чем при использовании метода ЛИФО, так как оценка запасов идет по более старым ценам. С этих позиций фирма, использующая метод ФИФО, оказывается в существенно лучшем положении перед внешними инвесторами, поскольку может продемонстрировать более высокий и более быстро растущий уровень своей доходности.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метод ЛИФО более выгоден с точки зрения минимизации налога на прибыль, поскольку он заметно сокращает налогооблагаемую базу за счет оценки запасов по более новым и потому более высоким ценам. Соответственно, применение метода ЛИФО позволяет минимизировать проблемы с воспроизводством оборотных средств. Надо сказать, что в зарубежной практике метод ЛИФО особенно популярен у компаний, готовящихся к превращению в .акционерные или к новой эмиссии акций, так как он позволяет получить более точную картину реальной прибыльности операций фирмы. А это — при высокой инфляции — вызывает у потенциальных инвесторов большее доверие, чем данные, опирающиеся на метод ФИФО.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Заметим, заключая эту тему, что: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новые правила бухгалтерского учета в России допускают использование как ФИФО, так и ЛИФО, хотя до последнего времени инструкции налоговой службы исходили из использования только промежуточного способа — метода оценки по средневзвешенной цене покупки. Этот метод, естественно, более выгоден для государственного бюджета, но его навязывание фирмам чревато большими трудностями для последних и потому является одним из наиболее тяжелых элементов того «налогового гнета», который стал центральной проблемой российской экономики в 1993—1995 гг.;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в международной практике фирма сама решает вопрос о выборе между ФИФО и ЛИФО, однако раз выбранный метод должен использоваться для всех учетных операций не менее определенного числа лет и его смена должна быть доведена до сведения всех заинтересованных организаций и лиц. Еще более жесткий порядок установлен положением по бухгалтерскому учету «Учетная политика предприятия», утвержденным Министерством финансов РФ 28 июля 1994 г. Изменение способа учета закупаемых ресурсов допускается лишь в следующих случаях: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при реорганизации предприятия;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при смене системы собственников;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при изменении законодательства РФ или нормативных документов, регулирующих бухгалтерский учет в стране;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 xml:space="preserve"> при разработке новых способов бухгалтерского учета. Для того чтобы лучше увидеть, как инфляция через динамику выручки от продаж и стоимости оборотных средств влияет на денежные поступления фирмы в целом, можно воспользоваться следующим примером.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развитие ситуации определяется скоростью оборота запасов и условиями кредитования при покупке сырья и продаже готовой продукции. Умело манипулирую ими (что является одной из главных проблем менеджмента), можно сгладить отрицательные последствия инфляции даже обратить ее себе на пользу, хотя так выгоды  редко бывают долгосрочными.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меньшие проблемы инфляция порождает, и с амортизацией. Причина тому отставание динамики амортизационных отчисляй от роста воспроизводственной стоимости новых реальных активов. По существующим в России правилам амортизация начисляется  на стоимость приобретения таких активов, выраженную в ценах , на момент приобретения </w:t>
      </w:r>
    </w:p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Влияние инфляции на номинальные и реальные уровни доходов фирм. 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Особая тема как инфляция может изменить доходность инвестиций и, соответственно как это обстоятельство надо учитывать при анализе проектов.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исходить из того, что в результате инвестирования исходная сумма средств </w:t>
      </w:r>
      <w:r>
        <w:rPr>
          <w:color w:val="000000"/>
          <w:sz w:val="24"/>
          <w:szCs w:val="24"/>
          <w:lang w:val="en-US"/>
        </w:rPr>
        <w:t>Io</w:t>
      </w:r>
      <w:r>
        <w:rPr>
          <w:color w:val="000000"/>
          <w:sz w:val="24"/>
          <w:szCs w:val="24"/>
        </w:rPr>
        <w:t xml:space="preserve"> должна возрасти в пропорции (1+г), где г — реальная норма прибыли на инвестиции, то в условиях инфляции (величину которой в процентах мы обозначим как г) все это будет выглядеть несколько иначе. Действительно, в последнем случае новая (приращенная) величина инвестированных сумм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будет равна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I1=Io(1+r)(1+i)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произведение (1+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)(1+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) будет обозначать совокупный — номинальный рост инвестиций в результате как собственно удачной их реализации, так и под влиянием инфляционного роста цен на товары, произведенные благодаря этим инвестициям.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случае результат инвестиционной деятельности можно было бы записать как: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I1=Io(1+n)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n — номинальная ставка прибыльности проекта. Очевидно, что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)= (1+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)(1+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)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соответственно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ri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номинальная Доходность инвестиционного проекта в условиях инфляции складывается из реальной нормы прибыли, темпа инфляции и реальной нормы прибыли, умноженной на темп инфляции. Чтобы вонять, насколько существенным может быть последний компонент номинальной доходности инвестиций, предположим, что мы имtем дело с проектом, обеспечивающим реальный уровень прибыльности на уровне 90% и реализованным в условиях 180%-ной инфляции (в годовом исчислении). Тогда его номинальная доходность составит (в долях):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0,90+0,80+0,^0 • 0,80=2,42.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Нетрудно подсчитать, что из общего размера дохода в 242% на долю инфляционной составляющей пришлось 152 пункта, т. е. 62,8%, в том числе на долю элемента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 xml:space="preserve"> (т. е. реального дохода, скорректированного на темп инфляции) — 72 пункта, или 29,7%.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Иными словами, при высокой инфляции элемент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 xml:space="preserve"> становится существенным компонентом общей доходности проектов и вполне сопоставим с суммой реального дохода и темпа инфляции. Правда, следует отметить, что инфляционный импульс столь сильно влияет на номинальную доходность инвестиций лишь при очень высоких темпах инфляции (близких или больших 100% в годовом исчислении) и высокой реальной доходности инвестиций, причем уменьшается с ростом последней.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при ускорении темпов инфляции номинальный доход от инвестиций возрастает все увеличивающимися темпами и, напротив, при замедлении инфляции номинальная доходность падает все более быстро.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серьезной, однако, эта проблема становится не в связи с существенными колебаниями номинальной доходности инвестиционных проектов, а в связи с налогообложением, ставки которого куда менее изменчивы, чем темпы инфляции. Чтобы понять, к чему это ведет, рассмотрим результаты реализации одного и того же проекта при разных уровнях инфляции и стабильной ставке доходности (данные в пунктах):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подобный расчет правомерен только в том случае, если денежные поступления в течение года носят равномерный характер. В противном случае точный расчет периода окупаемости потребует еще более кропотливого суммирования неодинаковых величин денежных поступлений по более коротким временным периодам (скажем, при годовом исчислении — по месяцам).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вывести некоторые закономерности, весьма существенные при анализе инвестиций в условиях высокой инфляции. Он позволяет увидеть, что при резком снижении инфляции уплата налогов, осуществлявшаяся поначалу преимущественно или полностью за счет чисто инфляционного дохода (компонент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), начинает уменьшать и реальный доход, скорректированный на инфляцию (компонент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 xml:space="preserve">). Затем на погашение налоговых обязательств приходится отдавать уже и часть собственно реального дохода от инвестиций (компонент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>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этой основе можно вывести некоторые контрольные соотношения между номинальной доходностью проекта, его реальной доходностью, ставкой налогообложения и темпом инфляции.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мы можем определить, ниже какого уровня инфляции налогообложение прибыли начнет съедать уже не только чисто инфляционный доход (компонент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 xml:space="preserve">, но и часть реального дохода, скорректированного на инфляцию (компонент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>). Эта ситуация возникнет при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i=(n(1-k)-r)/r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— уровень инфляции; n — номинальный доход от инвестиций; k — ставка налогообложения прибыли;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— уровень реальной доходности проекта.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Заметим, что чем выше реальная доходность проекта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 тем быстрее уменьшается тот пороговый уровень инфляции, за которым налоги погашать приходится уже и за счет части индексированного на инфляцию реального дохода, а затем и за счет самого реального дохода. Этот порог определяется соотношением: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&lt;=</w:t>
      </w:r>
      <w:r>
        <w:rPr>
          <w:color w:val="000000"/>
          <w:sz w:val="24"/>
          <w:szCs w:val="24"/>
          <w:lang w:val="en-US"/>
        </w:rPr>
        <w:t>rk</w:t>
      </w:r>
      <w:r>
        <w:rPr>
          <w:color w:val="000000"/>
          <w:sz w:val="24"/>
          <w:szCs w:val="24"/>
        </w:rPr>
        <w:t>/(1-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)(1+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)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расчетам специалистов еженедельника «Коммерсантъ», для проектов с реальной нормой прибыли около 100% погашение налогов за счет части индексированного на инфляцию реального дохода (компонент </w:t>
      </w:r>
      <w:r>
        <w:rPr>
          <w:color w:val="000000"/>
          <w:sz w:val="24"/>
          <w:szCs w:val="24"/>
          <w:lang w:val="en-US"/>
        </w:rPr>
        <w:t>ri</w:t>
      </w:r>
      <w:r>
        <w:rPr>
          <w:color w:val="000000"/>
          <w:sz w:val="24"/>
          <w:szCs w:val="24"/>
        </w:rPr>
        <w:t xml:space="preserve">) начинает происходить при снижении инфляции до 4,5% в месяц, а за счет уже и самого реального дохода (компонент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) — при снижении инфляции до 3,9% в месяц.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высокоэффективные проекты (т. е. проекты с наибольшими уровнями реальной прибыльности) оказываются наиболее чувствительными к инфляционным процессам: при росте инфляции их номинальная доходность возрастает наиболее быстро, но зато при резком снижении инфляции именно по таким проектам выгодность падает опережающими темпами по сравнению с менее эффективными вариантами вложения средств.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означает что, проводя инвестиционный анализ проектов в условиях высокой инфляции (галопирующей, с приближением годового роста цен к 100%), следует особо тщательно исследовать устойчивость выгодности тех проектов, которые обладают наиболее высокой реальной доходностью (сопоставимой по уровню с темпом инфляции), к резкому падению темпов инфляции.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один аспект динамики доходов в условиях инфляции связан с их зависимостью от эшелонирования инвестиций во времени, т. е. длительности их осуществления. До сих пор в нашем анализе мы исходили из неизменной нормы реальной доходности. Однако и она на самом деле зависит от инфляции, и можно показать, что в зависимости от различий в графике осуществления инвестиций реальная норма доходности инвестиций при снижении инфляции может снижаться, а может и возрастать.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разобраться в этой проблеме, запишем вначале уравнение, характеризующее зависимость уровня реальной доходности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и  величины номинального дохода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и темпа инфляции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R=(n-i)/(1+i)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Анализируя это уравнение, мы без труда обнаруживаем, что в принципе снижение инфляции должно вести к росту реальной доходности, так как уменьшение величины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ведет к увеличению числителя и уменьшению знаменателя дроби, определяющей величину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 Но, прежде чем сделать окончательный вывод, нам стоит вспомнить, что сама величина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в значительной мере зависит от инфляции, поскольку представляет собой разницу между выручкой и затратами, меняющимися в темпе инфляции. И если бы затраты и результаты в инвестиционных проектах были всегда одновременны, то величина п была бы неизменна, а реальная доходность при снижении инфляции неуклонно возрастала.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Главной особенностью инвестиций в реальные активы является вложение средств сегодня ради получения выигрыша в будущем, причем срок жизни таких инвестиций обычно более года. Отсюда проистекает неодновременность осуществления затрат и получения дохода, и чем больше этот разрыв, тем сильнее инвестиционный проект подвержен воздействию инфляционных процессов. Рассмотрим различные ситуации, которые здесь могут возникать.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Рост реальной нормы прибыли при снижении инфляции.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вложения в проект растянуты во времени, цены на приобретаемые ресурсы и реализуемую продукцию под влиянием инфляции меняются с достаточно близкими темпами (для простоты мы приняли их равными). Тогда номинальный доход оказывается нечувствительным к инфляции и практически не меняется (линия п горизонтальна).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поскольку инфляция снижается (на что указывает стрелка на нижней оси), то в силу выведенной выше зависимости уровень реальной доходности проекта при снижении инфляции начинает возрастать (линия г поднимается вверх).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Стабильность реальной нормы доходности при снижении инфляции. Подобная ситуация графически представлена на рис. 1.</w:t>
      </w:r>
    </w:p>
    <w:p w:rsidR="00E6507C" w:rsidRDefault="00320D39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98.25pt">
            <v:imagedata r:id="rId4" o:title=""/>
          </v:shape>
        </w:pict>
      </w:r>
    </w:p>
    <w:p w:rsidR="00E6507C" w:rsidRDefault="00E6507C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Изменение доходности инвестиционного проекта при снижении инфляции и опережающем снижении номинальных доходов по сравнению с номинальными расходами по проекту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случае, если в условиях затухающей инфляции цены на реализуемую продукцию снижаются быстрее, чем на приобретаемые ресурсы, номинальный доход начинает падать (линия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направлена вниз).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если темп инфляции падает в большей мере, чем разница в средних индексах снижения доходов и затрат, то в силу выведенной выше зависимости уровень реальной доходности проекта при снижении инфляции может остаться стабильным (линия г горизонтальна).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Снижение реальной нормы доходности при снижении инфляции. Такую ситуацию иллюстрирует рис. 2.</w:t>
      </w:r>
    </w:p>
    <w:p w:rsidR="00E6507C" w:rsidRDefault="00320D39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38.75pt;height:117pt">
            <v:imagedata r:id="rId5" o:title=""/>
          </v:shape>
        </w:pict>
      </w:r>
    </w:p>
    <w:p w:rsidR="00E6507C" w:rsidRDefault="00E6507C">
      <w:pPr>
        <w:spacing w:before="120" w:line="240" w:lineRule="auto"/>
        <w:ind w:firstLine="567"/>
        <w:rPr>
          <w:color w:val="000000"/>
          <w:sz w:val="24"/>
          <w:szCs w:val="24"/>
        </w:rPr>
      </w:pP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 Изменение доходности инвестиционного проекта при снижении инфляции и значительно более быстром снижении номинальных доходов по сравнению с номинальными расходами по проекту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в условиях затухающей инфляции цены на реализуемую продукцию снижаются значительно быстрее, чем на приобретаемые ресурсы, номинальный доход начинает падать также ускоренными темпами (линия п направлена круто вниз).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если темп инфляции падает в меньшей мере, чем разница в средних индексах снижения доходов и затрат, то в силу выведенной выше зависимости уровень реальной доходности проекта при снижении инфляции также начинает понижаться (линия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направлена вниз).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означает, что при макроэкономической ситуации, в которой имеются основания ожидать резкого снижения инфляции, предпочтение следует отдавать проектам, для которых инвестирование не концентрируется в начальный момент времени, а более растянуто во времени. При таком эшелонировании вложений на затратах в большей мере сказывается эффект снижения темпов роста цен и разрыв между динамикой дисконтированных затрат и дисконтированных результатов уменьшается. А следовательно, снижается и опасность убыточности проектов из-за сильной чувствительности к инфляции.</w:t>
      </w:r>
    </w:p>
    <w:p w:rsidR="00E6507C" w:rsidRDefault="006521C2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Методы учета инфляции при инвестиционном анализе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инфляции в рамках инвестиционного анализа требует: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отражения инфляционных ожиданий получателя инвестиций в проектировках денежных поступлений по намечаемому им к реализации проекту;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использования коэффициентов дисконтирования, учитывающих инфляционные ожидания инвесторов.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надо понимать, что, предоставляя средства, инвестор оговаривает свой доход в форме номинальных ставок, но сами эти ставки отражают его инфляционные ожидания, и потому они по природе ближе к реальным (эффективным) ставкам доходности, на которые ориентируется денежный рынок. Поэтому оценку возможности обеспечить такой уровень доходности надо вести на основе данных о будущих денежных потоках в текущих ценах, не корректируя их через базисные индексы цен для восстановления неизменной покупательной способности. В этом просто нет нужды, так как требуемые инвестором уровни доходности уже включают в себя подстраховку на потерю денежными средствами вследствие инфляции их покупательной способности.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следует, что самое важное при разработке инвестиционного проекта в условиях высокой инфляции — правильно учесть инфляцию при прогнозировании денежных поступлений: недооценка их роста под влиянием повышения цен сделает проект незаслуженно неприемлемым, а переоценка может привести к большим трудностям в будущем с погашением обязательств перед инвесторами. Единственное, что может сделать в этой связи добросовестный разработчик инвестиционного проекта, — попытаться максимально достоверно оценить влияние возможной в будущем инфляции на каждый из элементов денежных поступлений.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прогноз самой инфляции — дело чрезвычайно сложное и ненадежное, так как динамика цен определяется огромным количеством разнообразных факторов. В соответствующей литературе можно найти описания множества методов прогнозирования цен — от простейших, экспертных, до сложнейших, основанных на макромоделях и изощренных математических приемах. При этом, как показывает практика, надежность и точность прогнозов крайне слабо связаны со сложностью моделей прогнозирования, и порой экспертные прогнозы оправдываются не хуже, чем результаты сложных имитационных расчетов. Лучше всего не углубляться в эти дебри самим, а принять за основу прогнозы инфляции из нескольких независимых друг от друга источников, включая правительство и Центральный банк, — это даст тот диапазон возможных темпов инфляции, на который, скорее всего, ориентируются в своих инфляционных ожиданиях и инвесторы.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Вооружившись прогнозами инфляции, разработчик инвестиционного проекта должен затем сделать следующий шаг — классифицировать элементы будущих денежных поступлений по степени их «отзывчивости» на инфляционные процессы. Конечно, в каждом проекте такая классификация может сложиться по-своему, но тем не менее можно указать на некоторые типовые элементы денежных поступлений с различной реакцией на инфляцию.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инфляция крайне слабо влияет на амортизационные отчисления, и, во всяком случае, это влияние носит не непрерывный, а дискретный характер, обнаруживаясь только тогда, когда правительство принимает решения о переоценке основных средств или изменении ставок амортизационных отчислений. Аналогичным образом влияние инфляции проявляется весьма слабо по тем элементам ресурсов, которые приобретаются на основе долгосрочных контрактов с тем или иным образом фиксированными ценами или покупаются на форвардных рынках с фиксацией цены на момент заключения контракта, а не на момент поставки. С этой точки зрения развитие в России фьючерсной биржевой торговли имеет огромное значение и для улучшения инвестиционного климата.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элементы затрат, завися от инфляции, меняются тем не менее по несколько иным закономерностям. Например, обширная мировая практика свидетельствует, что при низкой и умеренной инфляции заработная плата обычно растет быстрее, чем цены, но отстает от них при высоких темпах инфляции. Причиной тому — объективная протяженность во времени процессов переговоров об изменении оплаты труда.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наконец, есть элементы денежных потоков, которые двигаются в общем темпе инфляции. Это прежде всего цены тех ресурсов, которые покупаются в обычном порядке, а также цены на готовую продукцию.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если инфляция столь существенно сказывается на элементах расчетов при анализе инвестиций, то, естественно, возникает вопрос: а не надо ли менять в условиях высокой инфляции и сами методы оценки приемлемости инвестиций?Мы говорили об удобстве использования при оценке взаимоисключающих инвестиций такого инструмента, как эквивалентный аннуитет. Этот метод можно использовать и в условиях инфляции, если имеются основания полагать, что существенная инфляция сохранится на протяжении ряда лет. Напомним, что эквивалентный аннуитет можно определить как ежегодные денежные поступления в условиях перпетуитета (т. е. вложения средств в проект, срок жизни которого явно не ограничен, как бы условно-бесконечен), который будет иметь ту же чистую текущую стоимость (</w:t>
      </w:r>
      <w:r>
        <w:rPr>
          <w:color w:val="000000"/>
          <w:sz w:val="24"/>
          <w:szCs w:val="24"/>
          <w:lang w:val="en-US"/>
        </w:rPr>
        <w:t>NPV</w:t>
      </w:r>
      <w:r>
        <w:rPr>
          <w:color w:val="000000"/>
          <w:sz w:val="24"/>
          <w:szCs w:val="24"/>
        </w:rPr>
        <w:t>), что и оцениваемый инвестиционный проект, если бы инвестиции по этому проекту повторялись в конце его реализации, и так до бесконечности.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По-иному эквивалентный аннуитет можно определить как текущую (современную) стоимость при постоянном повторении инвестиций, умноженную на требуемый уровень окупаемости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.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Путем преобразований, на которых мы не будем здесь останавливаться, можно показать, что при предпосылке стабильности темпа инфляции метод эквивалентного аннуитета остается приемлемым, хотя сама формула его определения изменится и примет вид: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ЕА = NPV 1 +</w:t>
      </w:r>
      <w:r>
        <w:rPr>
          <w:color w:val="000000"/>
          <w:sz w:val="24"/>
          <w:szCs w:val="24"/>
        </w:rPr>
        <w:sym w:font="Symbol" w:char="F05B"/>
      </w:r>
      <w:r>
        <w:rPr>
          <w:color w:val="000000"/>
          <w:sz w:val="24"/>
          <w:szCs w:val="24"/>
        </w:rPr>
        <w:t>1+1/(1+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реал)^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-1)</w:t>
      </w:r>
      <w:r>
        <w:rPr>
          <w:color w:val="000000"/>
          <w:sz w:val="24"/>
          <w:szCs w:val="24"/>
          <w:lang w:val="en-US"/>
        </w:rPr>
        <w:sym w:font="Symbol" w:char="F05D"/>
      </w: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  <w:lang w:val="en-US"/>
        </w:rPr>
        <w:t>k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реал — это необходимая отдача инвестиций в реальных условиях инфляции, так как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реал=(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)/(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)-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.                      </w:t>
      </w:r>
    </w:p>
    <w:p w:rsidR="00E6507C" w:rsidRDefault="006521C2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Поэтому, опираясь на этот показатель, можно точно так же сравнивать взаимоисключающие инвестиции в условиях инфляции, как и при стабильности цен.</w:t>
      </w:r>
    </w:p>
    <w:p w:rsidR="00E6507C" w:rsidRDefault="00E6507C">
      <w:pPr>
        <w:spacing w:before="120" w:line="240" w:lineRule="auto"/>
        <w:ind w:firstLine="567"/>
        <w:rPr>
          <w:color w:val="000000"/>
          <w:sz w:val="24"/>
          <w:szCs w:val="24"/>
        </w:rPr>
      </w:pPr>
      <w:bookmarkStart w:id="0" w:name="_GoBack"/>
      <w:bookmarkEnd w:id="0"/>
    </w:p>
    <w:sectPr w:rsidR="00E6507C">
      <w:pgSz w:w="11900" w:h="16820"/>
      <w:pgMar w:top="1134" w:right="1134" w:bottom="1134" w:left="1134" w:header="1440" w:footer="1440" w:gutter="0"/>
      <w:cols w:space="60"/>
      <w:noEndnote/>
      <w:docGrid w:linePitch="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53"/>
  <w:drawingGridVerticalSpacing w:val="36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1C2"/>
    <w:rsid w:val="00320D39"/>
    <w:rsid w:val="006521C2"/>
    <w:rsid w:val="00E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C0A9F85-81DB-4739-8481-13C9B3D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60" w:lineRule="auto"/>
      <w:ind w:firstLine="20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auto"/>
      <w:ind w:left="80" w:firstLine="0"/>
      <w:jc w:val="right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22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basedOn w:val="a0"/>
    <w:uiPriority w:val="99"/>
  </w:style>
  <w:style w:type="paragraph" w:styleId="21">
    <w:name w:val="Body Text Indent 2"/>
    <w:basedOn w:val="a"/>
    <w:link w:val="22"/>
    <w:uiPriority w:val="99"/>
    <w:pPr>
      <w:widowControl/>
      <w:spacing w:before="80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pPr>
      <w:widowControl/>
      <w:spacing w:line="300" w:lineRule="auto"/>
      <w:jc w:val="left"/>
    </w:pPr>
    <w:rPr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4758</Words>
  <Characters>27125</Characters>
  <Application>Microsoft Office Word</Application>
  <DocSecurity>0</DocSecurity>
  <Lines>226</Lines>
  <Paragraphs>63</Paragraphs>
  <ScaleCrop>false</ScaleCrop>
  <Company>MVO Line</Company>
  <LinksUpToDate>false</LinksUpToDate>
  <CharactersWithSpaces>31820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инфляционных процессов, на оценку инвестиционных проектов</dc:title>
  <dc:subject/>
  <dc:creator>Lojkina</dc:creator>
  <cp:keywords/>
  <dc:description/>
  <cp:lastModifiedBy>admin</cp:lastModifiedBy>
  <cp:revision>2</cp:revision>
  <dcterms:created xsi:type="dcterms:W3CDTF">2014-02-19T01:01:00Z</dcterms:created>
  <dcterms:modified xsi:type="dcterms:W3CDTF">2014-02-19T01:01:00Z</dcterms:modified>
</cp:coreProperties>
</file>