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aps/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kern w:val="28"/>
          <w:sz w:val="28"/>
          <w:szCs w:val="28"/>
        </w:rPr>
      </w:pPr>
      <w:r w:rsidRPr="00781412">
        <w:rPr>
          <w:b/>
          <w:bCs/>
          <w:caps/>
          <w:kern w:val="28"/>
          <w:sz w:val="28"/>
          <w:szCs w:val="28"/>
        </w:rPr>
        <w:t>ВЛияНИЕ кредитныХ историЙ на работу компаний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P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8916F3" w:rsidRPr="00781412">
        <w:rPr>
          <w:kern w:val="28"/>
          <w:sz w:val="28"/>
          <w:szCs w:val="28"/>
        </w:rPr>
        <w:t>С 21 августа с.г. вступает в силу Закон Республики Беларусь от 10.11.2008 № 441-З «О кредитных историях» (далее- Закон). Документ издан в целях укрепления платежной дисциплины, повышения заинтересованности физических и юридических лиц в надлежащем исполнении обязательств перед Национальным банком Республики Беларусь, банками, небанковскими кредитно-финансовыми организациями Республики Беларусь (далее - банки), снижения кредитных рисков и повышения эффективности работы банковской системы страны. В развитие Закона было издано постановление Правления Национального банка Республики Беларусь от 27.05.2009 № 67 «О формировании кредитных историй и предоставлении кредитных отчетов» (далее - постановление № 67).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Рассмотрим основные положения указанных нормативных правовых актов с приведением конкретных примеров.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  <w:r w:rsidRPr="00781412">
        <w:rPr>
          <w:bCs/>
          <w:caps/>
          <w:kern w:val="28"/>
          <w:sz w:val="28"/>
          <w:szCs w:val="28"/>
        </w:rPr>
        <w:t>Что такое кредитная история?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P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Ответ на этот вопрос дан в ст.</w:t>
      </w:r>
      <w:r w:rsidR="008916F3" w:rsidRPr="00781412">
        <w:rPr>
          <w:kern w:val="28"/>
          <w:sz w:val="28"/>
          <w:szCs w:val="28"/>
        </w:rPr>
        <w:t>1 Закона, где под кредитной историей понимаются хранящиеся в Нацбанке сведения, состав которых определен Законом и которые характеризуют субъекта кредитной истории и исполнение им принятых на себя обязательств по кредитным сделкам.</w:t>
      </w:r>
    </w:p>
    <w:p w:rsidR="008916F3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Под субъектом кредитной истории понимается физическое лицо, в том числе индивидуальный предприниматель, а также не являющиеся банком юридическое лицо Республики Беларусь или иностранное юридическое лицо (далее, е</w:t>
      </w:r>
      <w:r w:rsidR="00781412">
        <w:rPr>
          <w:kern w:val="28"/>
          <w:sz w:val="28"/>
          <w:szCs w:val="28"/>
        </w:rPr>
        <w:t>сли иное не определено Законом,</w:t>
      </w:r>
      <w:r w:rsidRPr="00781412">
        <w:rPr>
          <w:kern w:val="28"/>
          <w:sz w:val="28"/>
          <w:szCs w:val="28"/>
        </w:rPr>
        <w:t>- юридическое лицо), иностранная организация, не являющаяся юридическим лицом по иностранному праву, которые заключают (заключили) с банком, Нацбанком кредитную сделку и в отношении которых формируется кредитная история.</w:t>
      </w:r>
    </w:p>
    <w:p w:rsidR="00781412" w:rsidRP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</w:rPr>
        <w:br w:type="page"/>
      </w:r>
      <w:r w:rsidR="008916F3" w:rsidRPr="00781412">
        <w:rPr>
          <w:bCs/>
          <w:caps/>
          <w:kern w:val="28"/>
          <w:sz w:val="28"/>
          <w:szCs w:val="28"/>
        </w:rPr>
        <w:t>Как формируются истории?</w:t>
      </w:r>
    </w:p>
    <w:p w:rsidR="00781412" w:rsidRP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Сведения в кредитные истории поступают из отчетности формы 2501, состоящей из восьми отчетов: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 25011 «Сведения о субъекте кредитной истории - физическом лице»;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 25012 «Сведения о субъекте кредитной истории - физи</w:t>
      </w:r>
      <w:r w:rsidR="00BF5A0F">
        <w:rPr>
          <w:kern w:val="28"/>
          <w:sz w:val="28"/>
          <w:szCs w:val="28"/>
        </w:rPr>
        <w:t>ческом лице (заключение последу</w:t>
      </w:r>
      <w:r w:rsidRPr="00781412">
        <w:rPr>
          <w:kern w:val="28"/>
          <w:sz w:val="28"/>
          <w:szCs w:val="28"/>
        </w:rPr>
        <w:t>ющей кредитной сделки)»;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 25013 «Сведения о субъекте кредитной истории - физическом лице (изменение информации о субъекте кредитной истории)»;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 25014 «Сведения о субъекте кредитной истории - физическом лице (изменение сведений, входящих в запись кредитной истории)»;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 25015 «Сведения о субъекте кредитной истории - юридическом лице, иностранной организации, не являющейся юридическим лицом по иностранному праву»;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 25016 «Сведения о субъекте кредитной истории - юридическом лице, иностранной организации, не являющейся юридическим лицом по иностранному праву (заключение последующей кредитной сделки)»;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 25017 «Сведения о субъекте кредитной истории - юридическом лице, иностранной организации, не являющейся юридическим лицом по иностранному праву (изменение информации о субъекте кредитной истории)»;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 25018 «Сведения о субъекте кредитной истории - юридическом лице, иностранной организации, не являющейся юридическим лицом по иностранному праву (изменение сведений, входящих в запись кредитной истории)».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Отчеты 25011 и 25015 формируются при заключении кредитной сделки и отсутствии у источника формирования кредитной истории информации о наличии кредитной истории у субъекта кредитной истории.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Отчеты 25012 и 25016 составляются при заключении кредитной сделки и наличии у источника формирования кредитной истории информации о наличии кредитной истории у субъекта кредитной истории.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Отчеты 25013 и 25017 формируются в случае изменения сведений о субъекте кредитной истории, предоставленных ранее источником формирования кредитной истории в Кредитный регистр.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Отчеты 25014 и 25018 составляются в случаях изменения условий кредитной сделки, совершения действий по исполнению обязательств по кредитной сделке.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  <w:r w:rsidRPr="00781412">
        <w:rPr>
          <w:bCs/>
          <w:caps/>
          <w:kern w:val="28"/>
          <w:sz w:val="28"/>
          <w:szCs w:val="28"/>
        </w:rPr>
        <w:t>Особенности формирования историй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Пример 1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kern w:val="28"/>
          <w:sz w:val="28"/>
          <w:szCs w:val="28"/>
        </w:rPr>
      </w:pPr>
      <w:r w:rsidRPr="00781412">
        <w:rPr>
          <w:iCs/>
          <w:kern w:val="28"/>
          <w:sz w:val="28"/>
          <w:szCs w:val="28"/>
        </w:rPr>
        <w:t>Вопрос. ООО «У» (г. Минск) при помещении товаров под таможенный режим свободного обращения получило рассрочку уплаты таможенных платежей в соответствии со ст. 256 Таможенного кодекса Республики Беларусь на срок до 2 месяцев. В</w:t>
      </w:r>
      <w:r w:rsidR="00781412">
        <w:rPr>
          <w:iCs/>
          <w:kern w:val="28"/>
          <w:sz w:val="28"/>
          <w:szCs w:val="28"/>
        </w:rPr>
        <w:t xml:space="preserve"> </w:t>
      </w:r>
      <w:r w:rsidRPr="00781412">
        <w:rPr>
          <w:iCs/>
          <w:kern w:val="28"/>
          <w:sz w:val="28"/>
          <w:szCs w:val="28"/>
        </w:rPr>
        <w:t>качестве обеспечения исполнения налогового обязательства по уплате таможенных платежей была представлена гарантия банка «Т». В то же время в установленный срок погасить данную отсрочку предприятие не смогло. Оно уплатило причитающийся платеж в добровольном порядке по прошествии 9 календарных дней.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kern w:val="28"/>
          <w:sz w:val="28"/>
          <w:szCs w:val="28"/>
        </w:rPr>
      </w:pPr>
      <w:r w:rsidRPr="00781412">
        <w:rPr>
          <w:iCs/>
          <w:kern w:val="28"/>
          <w:sz w:val="28"/>
          <w:szCs w:val="28"/>
        </w:rPr>
        <w:t>Будет ли отражен факт получения в</w:t>
      </w:r>
      <w:r w:rsidR="00781412">
        <w:rPr>
          <w:iCs/>
          <w:kern w:val="28"/>
          <w:sz w:val="28"/>
          <w:szCs w:val="28"/>
        </w:rPr>
        <w:t xml:space="preserve"> </w:t>
      </w:r>
      <w:r w:rsidRPr="00781412">
        <w:rPr>
          <w:iCs/>
          <w:kern w:val="28"/>
          <w:sz w:val="28"/>
          <w:szCs w:val="28"/>
        </w:rPr>
        <w:t>кредитной истории? Предоставят ли таможенные органы информацию о данном нарушении для ее размещения в кредитной истории организации?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Ответ. В соответствии со ст. 6 Закона в кредитную историю включаются следующие сведения в отношении обязательств субъекта кредитной истории (для каждой записи кредитной истории) (если таковые имеются):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 кредитном договоре - номер и дата заключения договора, сумма и наименование валюты кредита (при открытии кредитной линии - предельный размер единовременной задолженности кредитополучателя), срок возврата (погашения) кредита; способ обеспечения исполнения обязательств по договору; сумма задолженности по кредиту (за исключением возобновляемой кредитной линии), суммы просроченных платежей по возврату (погашению) кредита, уплате процентов и плате за пользование кредитом, а также даты, которым соответствуют данные сведения; дата прекращения договора;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 договоре, содержащем условия овердрафтного кредитования, - номер и дата заключения договора, лимит овердрафта, наименование валюты кредита, срок возврата (погашения) кредита, способ обеспечения исполнения обязательств по договору; суммы просроченных платежей по возврату (погашению) кредита, уплате процентов и плате за пользование кредитом, а также даты, которым соответствуют данные сведения; дата прекращения договора;</w:t>
      </w:r>
    </w:p>
    <w:p w:rsidR="008916F3" w:rsidRPr="00781412" w:rsidRDefault="00781412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 договоре займа - номер и </w:t>
      </w:r>
      <w:r w:rsidR="008916F3" w:rsidRPr="00781412">
        <w:rPr>
          <w:kern w:val="28"/>
          <w:sz w:val="28"/>
          <w:szCs w:val="28"/>
        </w:rPr>
        <w:t>дата заключения договора, сумма, наименование валюты и срок возврата займа, способ обеспечения исполнения обязательств по договору; сумма задолженности по займу; суммы просроченных платежей по возврату займа, уплате процентов за пользование им, а также даты, которым соответствуют данные сведения; дата прекращения договора;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 договоре залога - номер и дата заключения договора, вид залога, стоимость предмета залога; сумма и наименование валюты требований залогодержателя, предъявленных к залогодателю; сумма полученного залогодержателем удовлетворения из стоимости заложенного имущества, а также даты, которым соответствуют данные сведения; дата прекращения залога;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 договоре гарантии - номер и дата заключения договора, срок, на который предоставлена гарантия, сумма, возврат которой обеспечивается гарантом, и наименование валюты; сумма и наименование валюты требований банка, предъявленных к гаранту; сумма, уплаченная гарантом, а также даты, которым соответствуют данные сведения; дата прекращения гарантии;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 договоре поручительства - номер и дата заключения договора, срок, на который дано поручительство, сумма, возврат которой обеспечивается поручительством, и наименование валюты, ответственность поручителя (солидарная или субсидиарная); сумма и наименование валюты требований банка, предъявленных к поручителю; сумма, уплаченная поручителем, а также даты, которым соответствуют данные сведения; дата прекращения поручительства.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В свою очередь, под записью кредитной истории подразумеваются сведения, входящие в состав кредитной истории, характеризующие одну кредитную сделку субъекта кредитной истории, в том числе исполнение принятых им на себя обязательств по данной сделке.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Под кредитной сделкой понимается кредитный договор, договор, содержащий условия овердрафтного кредитования, договоры займа, залога, гарантии, поручительства, заключаемые (заключенные) с банками, Нацбанком, по которым субъект кредитной истории выступает как кредитополучатель, или заемщик, или залогодатель, или гарант, или поручитель.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Исходя из ст. 164 Банковского кодекса Республики Беларусь (далее - БК) в силу банковской гарантии банк или небанковская кредитно</w:t>
      </w:r>
      <w:r w:rsidR="00BF5A0F">
        <w:rPr>
          <w:kern w:val="28"/>
          <w:sz w:val="28"/>
          <w:szCs w:val="28"/>
        </w:rPr>
        <w:t>-</w:t>
      </w:r>
      <w:r w:rsidRPr="00781412">
        <w:rPr>
          <w:kern w:val="28"/>
          <w:sz w:val="28"/>
          <w:szCs w:val="28"/>
        </w:rPr>
        <w:t>финансовая организация (гарант) дают по просьбе другог</w:t>
      </w:r>
      <w:r w:rsidR="00781412">
        <w:rPr>
          <w:kern w:val="28"/>
          <w:sz w:val="28"/>
          <w:szCs w:val="28"/>
        </w:rPr>
        <w:t xml:space="preserve">о лица (принципала, то есть ООО </w:t>
      </w:r>
      <w:r w:rsidRPr="00781412">
        <w:rPr>
          <w:kern w:val="28"/>
          <w:sz w:val="28"/>
          <w:szCs w:val="28"/>
        </w:rPr>
        <w:t>«У») от своего имени письменное обязательство уплатить креди</w:t>
      </w:r>
      <w:r w:rsidR="00781412">
        <w:rPr>
          <w:kern w:val="28"/>
          <w:sz w:val="28"/>
          <w:szCs w:val="28"/>
        </w:rPr>
        <w:t xml:space="preserve">тору принципала (бенефициару) в </w:t>
      </w:r>
      <w:r w:rsidRPr="00781412">
        <w:rPr>
          <w:kern w:val="28"/>
          <w:sz w:val="28"/>
          <w:szCs w:val="28"/>
        </w:rPr>
        <w:t>соответствии с условиями гарантии денежную сумму (осуществить платеж).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Таким образом, факт предоставления банковской гарантии ООО «У» не попадет в кредитную историю. Однако в кредитную историю может войти, например, договор залога, который мог быть заключен между банком и ООО «У» (где данный субъект хозяйствования выступает в качестве залогодателя) для выдачи последнему банковской гарантии.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Согласно ст. 1 Закона источником формирования кредитной истории выступает банк, являющийся стороной по кредитной сделке и предоставляющий в Нацбанк сведения, входящие в состав кредитно</w:t>
      </w:r>
      <w:r w:rsidR="00781412">
        <w:rPr>
          <w:kern w:val="28"/>
          <w:sz w:val="28"/>
          <w:szCs w:val="28"/>
        </w:rPr>
        <w:t xml:space="preserve">й истории, а также Нацбанк – по </w:t>
      </w:r>
      <w:r w:rsidRPr="00781412">
        <w:rPr>
          <w:kern w:val="28"/>
          <w:sz w:val="28"/>
          <w:szCs w:val="28"/>
        </w:rPr>
        <w:t>кредитным сделкам, заключенным со своими работниками. Следовательно, таможенный орган не является источником формирования кредитно</w:t>
      </w:r>
      <w:r w:rsidR="00781412">
        <w:rPr>
          <w:kern w:val="28"/>
          <w:sz w:val="28"/>
          <w:szCs w:val="28"/>
        </w:rPr>
        <w:t xml:space="preserve">й истории и, соответственно, не </w:t>
      </w:r>
      <w:r w:rsidRPr="00781412">
        <w:rPr>
          <w:kern w:val="28"/>
          <w:sz w:val="28"/>
          <w:szCs w:val="28"/>
        </w:rPr>
        <w:t>вносит какие­либо сведения в</w:t>
      </w:r>
      <w:r w:rsidR="00781412">
        <w:rPr>
          <w:kern w:val="28"/>
          <w:sz w:val="28"/>
          <w:szCs w:val="28"/>
        </w:rPr>
        <w:t xml:space="preserve"> </w:t>
      </w:r>
      <w:r w:rsidRPr="00781412">
        <w:rPr>
          <w:kern w:val="28"/>
          <w:sz w:val="28"/>
          <w:szCs w:val="28"/>
        </w:rPr>
        <w:t>кредитные истории.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Пример 2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kern w:val="28"/>
          <w:sz w:val="28"/>
          <w:szCs w:val="28"/>
        </w:rPr>
      </w:pPr>
      <w:r w:rsidRPr="00781412">
        <w:rPr>
          <w:iCs/>
          <w:kern w:val="28"/>
          <w:sz w:val="28"/>
          <w:szCs w:val="28"/>
        </w:rPr>
        <w:t>Вопрос. В кредитной истории предп</w:t>
      </w:r>
      <w:r w:rsidR="00781412">
        <w:rPr>
          <w:iCs/>
          <w:kern w:val="28"/>
          <w:sz w:val="28"/>
          <w:szCs w:val="28"/>
        </w:rPr>
        <w:t xml:space="preserve">риятия фиксировались сведения о </w:t>
      </w:r>
      <w:r w:rsidRPr="00781412">
        <w:rPr>
          <w:iCs/>
          <w:kern w:val="28"/>
          <w:sz w:val="28"/>
          <w:szCs w:val="28"/>
        </w:rPr>
        <w:t>фактах просрочки уплаты платежей</w:t>
      </w:r>
      <w:r w:rsidR="00781412">
        <w:rPr>
          <w:iCs/>
          <w:kern w:val="28"/>
          <w:sz w:val="28"/>
          <w:szCs w:val="28"/>
        </w:rPr>
        <w:t xml:space="preserve"> по выданным кредитам. Однако в </w:t>
      </w:r>
      <w:r w:rsidRPr="00781412">
        <w:rPr>
          <w:iCs/>
          <w:kern w:val="28"/>
          <w:sz w:val="28"/>
          <w:szCs w:val="28"/>
        </w:rPr>
        <w:t>настоящее время все кредиты, в том числе проценты по ним, погашены. Означает ли это, что предприятию теперь не будут выдавать кредиты?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Ответ. Напомним, что порядок предоставления банковского кредита, с одной стороны, регулируется нормами главы 18 БК, а с другой</w:t>
      </w:r>
      <w:r w:rsidR="00781412">
        <w:rPr>
          <w:kern w:val="28"/>
          <w:sz w:val="28"/>
          <w:szCs w:val="28"/>
        </w:rPr>
        <w:t xml:space="preserve"> </w:t>
      </w:r>
      <w:r w:rsidRPr="00781412">
        <w:rPr>
          <w:kern w:val="28"/>
          <w:sz w:val="28"/>
          <w:szCs w:val="28"/>
        </w:rPr>
        <w:t>- нормами Гражданского кодекса Республики Беларусь (далее - ГК). Исходя из ст. 137 БК по кредитному договору банк или небанковская кредитно</w:t>
      </w:r>
      <w:r w:rsidR="00BF5A0F">
        <w:rPr>
          <w:kern w:val="28"/>
          <w:sz w:val="28"/>
          <w:szCs w:val="28"/>
        </w:rPr>
        <w:t>-</w:t>
      </w:r>
      <w:r w:rsidRPr="00781412">
        <w:rPr>
          <w:kern w:val="28"/>
          <w:sz w:val="28"/>
          <w:szCs w:val="28"/>
        </w:rPr>
        <w:t>финансовая организация (кредитодатель) обязуются предоставить денежные средства (кредит) другому лицу (кредитополучателю) в размере и на условиях, определенных договором, а кредитополучатель обязуется возвратить (погасить) кредит и уплатить проценты за пользование им.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В соответствии со ст. 391 ГК граждан</w:t>
      </w:r>
      <w:r w:rsidR="00781412">
        <w:rPr>
          <w:kern w:val="28"/>
          <w:sz w:val="28"/>
          <w:szCs w:val="28"/>
        </w:rPr>
        <w:t xml:space="preserve">е и юридические лица свободны в </w:t>
      </w:r>
      <w:r w:rsidRPr="00781412">
        <w:rPr>
          <w:kern w:val="28"/>
          <w:sz w:val="28"/>
          <w:szCs w:val="28"/>
        </w:rPr>
        <w:t>заключении договора, а условия договора определяются п</w:t>
      </w:r>
      <w:r w:rsidR="00781412">
        <w:rPr>
          <w:kern w:val="28"/>
          <w:sz w:val="28"/>
          <w:szCs w:val="28"/>
        </w:rPr>
        <w:t xml:space="preserve">о усмотрению сторон в порядке и </w:t>
      </w:r>
      <w:r w:rsidRPr="00781412">
        <w:rPr>
          <w:kern w:val="28"/>
          <w:sz w:val="28"/>
          <w:szCs w:val="28"/>
        </w:rPr>
        <w:t>пределах, предусмотренных законодательством. П</w:t>
      </w:r>
      <w:r w:rsidR="00781412">
        <w:rPr>
          <w:kern w:val="28"/>
          <w:sz w:val="28"/>
          <w:szCs w:val="28"/>
        </w:rPr>
        <w:t xml:space="preserve">ри этом действующие нормативные </w:t>
      </w:r>
      <w:r w:rsidRPr="00781412">
        <w:rPr>
          <w:kern w:val="28"/>
          <w:sz w:val="28"/>
          <w:szCs w:val="28"/>
        </w:rPr>
        <w:t>правовые акты не устанавливают банков</w:t>
      </w:r>
      <w:r w:rsidR="00781412">
        <w:rPr>
          <w:kern w:val="28"/>
          <w:sz w:val="28"/>
          <w:szCs w:val="28"/>
        </w:rPr>
        <w:t xml:space="preserve">скому учреждению ограничений по </w:t>
      </w:r>
      <w:r w:rsidRPr="00781412">
        <w:rPr>
          <w:kern w:val="28"/>
          <w:sz w:val="28"/>
          <w:szCs w:val="28"/>
        </w:rPr>
        <w:t>выдаче кредитов кредитополучателю, у которого погашены кредиты.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Таким образом, банковское уч</w:t>
      </w:r>
      <w:r w:rsidR="00781412">
        <w:rPr>
          <w:kern w:val="28"/>
          <w:sz w:val="28"/>
          <w:szCs w:val="28"/>
        </w:rPr>
        <w:t xml:space="preserve">реждение, рассматривая вопрос о </w:t>
      </w:r>
      <w:r w:rsidRPr="00781412">
        <w:rPr>
          <w:kern w:val="28"/>
          <w:sz w:val="28"/>
          <w:szCs w:val="28"/>
        </w:rPr>
        <w:t>целесообразности представления кредита предприятию, оценивает, прежде всего, риск невозврата кредита или затягивания сроков распоряжения полученными ресурсами. В свою очередь, кредитная история позволяет оценить данный риск и помочь сформировать банковскому учреждению кредитный рейтинг клиентов.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Исходя из вышеизложенного</w:t>
      </w:r>
      <w:r w:rsidR="00BF5A0F">
        <w:rPr>
          <w:kern w:val="28"/>
          <w:sz w:val="28"/>
          <w:szCs w:val="28"/>
        </w:rPr>
        <w:t>,</w:t>
      </w:r>
      <w:r w:rsidRPr="00781412">
        <w:rPr>
          <w:kern w:val="28"/>
          <w:sz w:val="28"/>
          <w:szCs w:val="28"/>
        </w:rPr>
        <w:t xml:space="preserve"> банк может выдать кредит предприятию даже в том случае, если в кредитной истории имеются сведения о</w:t>
      </w:r>
      <w:r w:rsidR="00157862">
        <w:rPr>
          <w:kern w:val="28"/>
          <w:sz w:val="28"/>
          <w:szCs w:val="28"/>
        </w:rPr>
        <w:t xml:space="preserve"> </w:t>
      </w:r>
      <w:r w:rsidRPr="00781412">
        <w:rPr>
          <w:kern w:val="28"/>
          <w:sz w:val="28"/>
          <w:szCs w:val="28"/>
        </w:rPr>
        <w:t>фактах просрочки уплаты платежей по выданным кредитам. Вместе с</w:t>
      </w:r>
      <w:r w:rsidR="00157862">
        <w:rPr>
          <w:kern w:val="28"/>
          <w:sz w:val="28"/>
          <w:szCs w:val="28"/>
        </w:rPr>
        <w:t xml:space="preserve"> </w:t>
      </w:r>
      <w:r w:rsidRPr="00781412">
        <w:rPr>
          <w:kern w:val="28"/>
          <w:sz w:val="28"/>
          <w:szCs w:val="28"/>
        </w:rPr>
        <w:t>тем следует помнить, что банковское учреждение, например, в качестве условия выдачи кредита может потребовать предоставления предприятием в залог более ликвидных товаров.</w:t>
      </w:r>
    </w:p>
    <w:p w:rsidR="008916F3" w:rsidRPr="00781412" w:rsidRDefault="00BF5A0F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Пример 3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kern w:val="28"/>
          <w:sz w:val="28"/>
          <w:szCs w:val="28"/>
        </w:rPr>
      </w:pPr>
      <w:r w:rsidRPr="00781412">
        <w:rPr>
          <w:iCs/>
          <w:kern w:val="28"/>
          <w:sz w:val="28"/>
          <w:szCs w:val="28"/>
        </w:rPr>
        <w:t xml:space="preserve">Вопрос. ОАО «Б» (г. Солигорск) заключило в октябре </w:t>
      </w:r>
      <w:smartTag w:uri="urn:schemas-microsoft-com:office:smarttags" w:element="metricconverter">
        <w:smartTagPr>
          <w:attr w:name="ProductID" w:val="2008 г"/>
        </w:smartTagPr>
        <w:r w:rsidRPr="00781412">
          <w:rPr>
            <w:iCs/>
            <w:kern w:val="28"/>
            <w:sz w:val="28"/>
            <w:szCs w:val="28"/>
          </w:rPr>
          <w:t>2008 г</w:t>
        </w:r>
      </w:smartTag>
      <w:r w:rsidRPr="00781412">
        <w:rPr>
          <w:iCs/>
          <w:kern w:val="28"/>
          <w:sz w:val="28"/>
          <w:szCs w:val="28"/>
        </w:rPr>
        <w:t>. с банком «К» договор кредитования на 1 год. В то же время из</w:t>
      </w:r>
      <w:r w:rsidR="00BF5A0F">
        <w:rPr>
          <w:iCs/>
          <w:kern w:val="28"/>
          <w:sz w:val="28"/>
          <w:szCs w:val="28"/>
        </w:rPr>
        <w:t>-</w:t>
      </w:r>
      <w:r w:rsidRPr="00781412">
        <w:rPr>
          <w:iCs/>
          <w:kern w:val="28"/>
          <w:sz w:val="28"/>
          <w:szCs w:val="28"/>
        </w:rPr>
        <w:t>з</w:t>
      </w:r>
      <w:r w:rsidR="00157862">
        <w:rPr>
          <w:iCs/>
          <w:kern w:val="28"/>
          <w:sz w:val="28"/>
          <w:szCs w:val="28"/>
        </w:rPr>
        <w:t xml:space="preserve">а проблем с </w:t>
      </w:r>
      <w:r w:rsidRPr="00781412">
        <w:rPr>
          <w:iCs/>
          <w:kern w:val="28"/>
          <w:sz w:val="28"/>
          <w:szCs w:val="28"/>
        </w:rPr>
        <w:t>экспортом продукции предприятие может погасить очередной платеж по кредиту несколько позже, чем это предусматривает кредитный дог</w:t>
      </w:r>
      <w:r w:rsidR="00157862">
        <w:rPr>
          <w:iCs/>
          <w:kern w:val="28"/>
          <w:sz w:val="28"/>
          <w:szCs w:val="28"/>
        </w:rPr>
        <w:t xml:space="preserve">овор. А именно платеж за апрель </w:t>
      </w:r>
      <w:r w:rsidRPr="00781412">
        <w:rPr>
          <w:iCs/>
          <w:kern w:val="28"/>
          <w:sz w:val="28"/>
          <w:szCs w:val="28"/>
        </w:rPr>
        <w:t xml:space="preserve">- май </w:t>
      </w:r>
      <w:smartTag w:uri="urn:schemas-microsoft-com:office:smarttags" w:element="metricconverter">
        <w:smartTagPr>
          <w:attr w:name="ProductID" w:val="2009 г"/>
        </w:smartTagPr>
        <w:r w:rsidRPr="00781412">
          <w:rPr>
            <w:iCs/>
            <w:kern w:val="28"/>
            <w:sz w:val="28"/>
            <w:szCs w:val="28"/>
          </w:rPr>
          <w:t>2009 г</w:t>
        </w:r>
      </w:smartTag>
      <w:r w:rsidRPr="00781412">
        <w:rPr>
          <w:iCs/>
          <w:kern w:val="28"/>
          <w:sz w:val="28"/>
          <w:szCs w:val="28"/>
        </w:rPr>
        <w:t xml:space="preserve">. внести в сентябре </w:t>
      </w:r>
      <w:smartTag w:uri="urn:schemas-microsoft-com:office:smarttags" w:element="metricconverter">
        <w:smartTagPr>
          <w:attr w:name="ProductID" w:val="2009 г"/>
        </w:smartTagPr>
        <w:r w:rsidRPr="00781412">
          <w:rPr>
            <w:iCs/>
            <w:kern w:val="28"/>
            <w:sz w:val="28"/>
            <w:szCs w:val="28"/>
          </w:rPr>
          <w:t>2009 г</w:t>
        </w:r>
      </w:smartTag>
      <w:r w:rsidRPr="00781412">
        <w:rPr>
          <w:iCs/>
          <w:kern w:val="28"/>
          <w:sz w:val="28"/>
          <w:szCs w:val="28"/>
        </w:rPr>
        <w:t>. Банк согласен с доводами ОАО «Б» и</w:t>
      </w:r>
      <w:r w:rsidR="00781412">
        <w:rPr>
          <w:iCs/>
          <w:kern w:val="28"/>
          <w:sz w:val="28"/>
          <w:szCs w:val="28"/>
        </w:rPr>
        <w:t xml:space="preserve"> </w:t>
      </w:r>
      <w:r w:rsidRPr="00781412">
        <w:rPr>
          <w:iCs/>
          <w:kern w:val="28"/>
          <w:sz w:val="28"/>
          <w:szCs w:val="28"/>
        </w:rPr>
        <w:t>готов предоставить отсрочку уплаты платежей.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kern w:val="28"/>
          <w:sz w:val="28"/>
          <w:szCs w:val="28"/>
        </w:rPr>
      </w:pPr>
      <w:r w:rsidRPr="00781412">
        <w:rPr>
          <w:iCs/>
          <w:kern w:val="28"/>
          <w:sz w:val="28"/>
          <w:szCs w:val="28"/>
        </w:rPr>
        <w:t>Следует ли в данном случае заключать отдельное дополнительное соглашение к кредитному договору между предприятием и банком? Как это отразится в кредитной истории ОАО «Б»?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Ответ. Исходя из ст. 420 ГК изменение и расторжение договора возможно по соглашению сторон, если иное не предусмотрено актами законодательства или договором. В соответствии со ст. 1 Закона Республики Беларусь «О нормативных правовых актах Республики Беларусь» акты законодательства - нормативные правовые акты, составляющие законодательство Республики Беларусь; под нормативным правовым актом понимается официальный документ установленной формы, принятый (изданный) в пределах компетенции уполномоченного государственного органа (должностного лица) или путем референдума с соблюдением установленной законодательством процедуры, содержащий общеобязательные правила поведения, рассчитанные на неопределенный круг лиц и неоднократное применение.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Таким образом, актом законодательства, то есть п. 24 Инструкции о порядке предоставления (размещения) банками денежных средств в форме кредита и их возврата, утвержденной постановлением Правления Национального банка Республики Беларусь от 30.12.2003 № 226 , предусмотрено, что изменение условий кредитного договора, в том числе предоставление отсрочки (рассрочки) погашения задолженности по кредитному договору, осуществляется на основании дополнительного согл</w:t>
      </w:r>
      <w:r w:rsidR="00157862">
        <w:rPr>
          <w:kern w:val="28"/>
          <w:sz w:val="28"/>
          <w:szCs w:val="28"/>
        </w:rPr>
        <w:t xml:space="preserve">ашения к </w:t>
      </w:r>
      <w:r w:rsidRPr="00781412">
        <w:rPr>
          <w:kern w:val="28"/>
          <w:sz w:val="28"/>
          <w:szCs w:val="28"/>
        </w:rPr>
        <w:t>кредитному договору, что предполагает наличие соглашения сторон об изменении условий договора, заключенного в дополнение к первоначально заключенному кредитному договору.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В соответствии с п. 1 ст. 422 ГК соглашение об изменении или расторжении договора совершается в той же форме, что и договор, если из законодательства, договора не вытекает иное. Статьей 139 БК установлено, что кредитный договор должен быть заключен в письменной форме.</w:t>
      </w:r>
      <w:r w:rsidR="00157862">
        <w:rPr>
          <w:kern w:val="28"/>
          <w:sz w:val="28"/>
          <w:szCs w:val="28"/>
        </w:rPr>
        <w:t xml:space="preserve"> Таким образом, допсоглашение к </w:t>
      </w:r>
      <w:r w:rsidRPr="00781412">
        <w:rPr>
          <w:kern w:val="28"/>
          <w:sz w:val="28"/>
          <w:szCs w:val="28"/>
        </w:rPr>
        <w:t>кредитному договору необходимо заключать в письменной форме.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Изменение графика погашения кредита, являющегося в соответствии с кредитным договором неотъемлемой его частью, путем подписания сторонами договора нового графика с указанием в нем о прекращении действия прежнего графика является изменением кредитного договора, оформленным допсоглашением в письменной форме (письмо Национального банка Республики Беларусь от 17.03.2007 № 04-23/190).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Таким образом, в случае если: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банковское учреждение согласится изменить график погашения кредита и стороны заключат соответствующее соглашение в письменной форме - кредитная история не будет содержать сведений о просрочке уплаты платежа по кредиту, поскольку фактически такой просрочки нет;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предприятию будет предоставлена отсрочка (рассрочки) погашения задолженности либо банковское учреждение не пожелает внести каких­либо изменений в кредитный договор - кредитная история будет содержать сведения о наличии задолженности по погашению кредита.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  <w:r w:rsidRPr="00781412">
        <w:rPr>
          <w:bCs/>
          <w:caps/>
          <w:kern w:val="28"/>
          <w:sz w:val="28"/>
          <w:szCs w:val="28"/>
        </w:rPr>
        <w:t>Внесение изменений в кредитную историю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Учитывая, что кредитная история является документом, от содержания которого зависит в том числе финансовое благополучие коммерческих организаций, законодатель предусмотрел возможность внесения в данный документ изменений.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Так в соответствии со ст. 8 Закона сведения, входящие в состав кредитной истории и являющиеся, по мнению субъекта кредитной истории, недостоверными, по его заявлению подлежат проверке Нацбанком или по поручению Нацбанка - источником формирования кредитной истории, представившим данные сведения в главный банк страны. Для этого субъект обязан предоставить заявление в Нацбанк по форме, установленной Инструкцией о формировании кредитных историй и предоставлении кредитных отчетов, утвержденной постановлением № 67 (далее - Инструкция).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Срок такой проверки не должен превышать 30 дней со дня получения заявления. Во время проведения проверки в кредитной истории делается пометка «Сведения проверяются».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Субъект кредитной истории информируется Нацбанком о результатах рассмотрения заявления в течение 5 дней, следующих за днем завершения проверки. Если сведения признаны достоверными, то субъекту дается ответ, в котором излагаются основания отказа в удовлетворении изложенных в заявлении требований. Отказ в изменении и (или) дополнении сведений, входящих в состав кредитной истории, можно обжаловать в судебном порядке.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Сведения, входящие в состав кредитной истории, признанные по результатам проверки недостоверными, подлежат изменению и (или) дополнению в течение 5 дней, следующих за днем завершения проверки.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Изменение и (или) дополнение сведений, включенных в состав кредитной истории в результате неверного (неправильного, ошибочного) представления источником формирования кредитной истории, осуществляется путем предоставления данным источником в Кредитный регистр достоверных сведений в виде электронного документа.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  <w:r w:rsidRPr="00781412">
        <w:rPr>
          <w:bCs/>
          <w:caps/>
          <w:kern w:val="28"/>
          <w:sz w:val="28"/>
          <w:szCs w:val="28"/>
        </w:rPr>
        <w:t>Получение кредитных отчетов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Кроме того, субъекты кредитных историй вправе получать сведения, входящие в состав кредитной истории, в виде кредитного отчета. Этот отчет предоставляется в форме электронного документа (в случае заключения с Нацбанком отдельного договора, регулирующего отношения в сфере обращения электронных документов) или документа на бумажном носителе.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Для получения отчета субъект представляет в одно из структур</w:t>
      </w:r>
      <w:r w:rsidR="00157862">
        <w:rPr>
          <w:kern w:val="28"/>
          <w:sz w:val="28"/>
          <w:szCs w:val="28"/>
        </w:rPr>
        <w:t>ных подразделений Нацбанка (см.</w:t>
      </w:r>
      <w:r w:rsidRPr="00781412">
        <w:rPr>
          <w:kern w:val="28"/>
          <w:sz w:val="28"/>
          <w:szCs w:val="28"/>
        </w:rPr>
        <w:t>табл.) заявление по форме, определенной Инструкцией. В случае, когда отчет предоставляется за вознаграждение, субъект кредитной истории до представления заявления на получение отчета (далее - заявление) обязан заключить договор оказания информационных услуг по установленной Инструкцией форме, а также представить платежный документ, подтверждающий уплату вознаграждения.</w:t>
      </w:r>
    </w:p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ТАБЛИЦА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aps/>
          <w:kern w:val="28"/>
          <w:sz w:val="28"/>
          <w:szCs w:val="28"/>
        </w:rPr>
      </w:pPr>
      <w:r w:rsidRPr="00781412">
        <w:rPr>
          <w:bCs/>
          <w:caps/>
          <w:kern w:val="28"/>
          <w:sz w:val="28"/>
          <w:szCs w:val="28"/>
        </w:rPr>
        <w:t>Список мест предоставления кредитных отчетов</w:t>
      </w:r>
    </w:p>
    <w:tbl>
      <w:tblPr>
        <w:tblW w:w="4766" w:type="pct"/>
        <w:tblCellSpacing w:w="-8" w:type="dxa"/>
        <w:tblInd w:w="17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148"/>
        <w:gridCol w:w="3855"/>
      </w:tblGrid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Наименование структурного подразделения Нацбанка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Адрес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Специализированное управление Нацбанка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Калиновского, 72а, </w:t>
            </w:r>
            <w:smartTag w:uri="urn:schemas-microsoft-com:office:smarttags" w:element="metricconverter">
              <w:smartTagPr>
                <w:attr w:name="ProductID" w:val="220114, г"/>
              </w:smartTagPr>
              <w:r w:rsidRPr="00781412">
                <w:rPr>
                  <w:kern w:val="28"/>
                  <w:sz w:val="20"/>
                  <w:szCs w:val="28"/>
                </w:rPr>
                <w:t>220114, г</w:t>
              </w:r>
            </w:smartTag>
            <w:r w:rsidRPr="00781412">
              <w:rPr>
                <w:kern w:val="28"/>
                <w:sz w:val="20"/>
                <w:szCs w:val="28"/>
              </w:rPr>
              <w:t>. Минск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Главное управление Нацбанка по г. Минску и Минской области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Толстого, 6, </w:t>
            </w:r>
            <w:smartTag w:uri="urn:schemas-microsoft-com:office:smarttags" w:element="metricconverter">
              <w:smartTagPr>
                <w:attr w:name="ProductID" w:val="220007, г"/>
              </w:smartTagPr>
              <w:r w:rsidRPr="00781412">
                <w:rPr>
                  <w:kern w:val="28"/>
                  <w:sz w:val="20"/>
                  <w:szCs w:val="28"/>
                </w:rPr>
                <w:t>220007, г</w:t>
              </w:r>
            </w:smartTag>
            <w:r w:rsidRPr="00781412">
              <w:rPr>
                <w:kern w:val="28"/>
                <w:sz w:val="20"/>
                <w:szCs w:val="28"/>
              </w:rPr>
              <w:t>. Минск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г. Минску и Минской области в г. Борисове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Рабочий Химик, 13, </w:t>
            </w:r>
            <w:smartTag w:uri="urn:schemas-microsoft-com:office:smarttags" w:element="metricconverter">
              <w:smartTagPr>
                <w:attr w:name="ProductID" w:val="222120, г"/>
              </w:smartTagPr>
              <w:r w:rsidRPr="00781412">
                <w:rPr>
                  <w:kern w:val="28"/>
                  <w:sz w:val="20"/>
                  <w:szCs w:val="28"/>
                </w:rPr>
                <w:t>222120, г</w:t>
              </w:r>
            </w:smartTag>
            <w:r w:rsidRPr="00781412">
              <w:rPr>
                <w:kern w:val="28"/>
                <w:sz w:val="20"/>
                <w:szCs w:val="28"/>
              </w:rPr>
              <w:t>. Борисов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г. Минску и Минской области в г. Молодечно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Притыцкого, 23,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781412">
                <w:rPr>
                  <w:kern w:val="28"/>
                  <w:sz w:val="20"/>
                  <w:szCs w:val="28"/>
                </w:rPr>
                <w:t>222310, г</w:t>
              </w:r>
            </w:smartTag>
            <w:r w:rsidRPr="00781412">
              <w:rPr>
                <w:kern w:val="28"/>
                <w:sz w:val="20"/>
                <w:szCs w:val="28"/>
              </w:rPr>
              <w:t>. Молодечно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Главное управление Нацбанка по Брестской области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Ленина, 9, </w:t>
            </w:r>
            <w:smartTag w:uri="urn:schemas-microsoft-com:office:smarttags" w:element="metricconverter">
              <w:smartTagPr>
                <w:attr w:name="ProductID" w:val="224005, г"/>
              </w:smartTagPr>
              <w:r w:rsidRPr="00781412">
                <w:rPr>
                  <w:kern w:val="28"/>
                  <w:sz w:val="20"/>
                  <w:szCs w:val="28"/>
                </w:rPr>
                <w:t>224005, г</w:t>
              </w:r>
            </w:smartTag>
            <w:r w:rsidRPr="00781412">
              <w:rPr>
                <w:kern w:val="28"/>
                <w:sz w:val="20"/>
                <w:szCs w:val="28"/>
              </w:rPr>
              <w:t>. Брест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Брестской области в г. Барановичи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Советская, 77, </w:t>
            </w:r>
            <w:smartTag w:uri="urn:schemas-microsoft-com:office:smarttags" w:element="metricconverter">
              <w:smartTagPr>
                <w:attr w:name="ProductID" w:val="225320, г"/>
              </w:smartTagPr>
              <w:r w:rsidRPr="00781412">
                <w:rPr>
                  <w:kern w:val="28"/>
                  <w:sz w:val="20"/>
                  <w:szCs w:val="28"/>
                </w:rPr>
                <w:t>225320, г</w:t>
              </w:r>
            </w:smartTag>
            <w:r w:rsidRPr="00781412">
              <w:rPr>
                <w:kern w:val="28"/>
                <w:sz w:val="20"/>
                <w:szCs w:val="28"/>
              </w:rPr>
              <w:t>. Барановичи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Брестской области в г. Дрогичине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Ленина, 159, </w:t>
            </w:r>
            <w:smartTag w:uri="urn:schemas-microsoft-com:office:smarttags" w:element="metricconverter">
              <w:smartTagPr>
                <w:attr w:name="ProductID" w:val="225830, г"/>
              </w:smartTagPr>
              <w:r w:rsidRPr="00781412">
                <w:rPr>
                  <w:kern w:val="28"/>
                  <w:sz w:val="20"/>
                  <w:szCs w:val="28"/>
                </w:rPr>
                <w:t>225830, г</w:t>
              </w:r>
            </w:smartTag>
            <w:r w:rsidRPr="00781412">
              <w:rPr>
                <w:kern w:val="28"/>
                <w:sz w:val="20"/>
                <w:szCs w:val="28"/>
              </w:rPr>
              <w:t>. Дрогичин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Брестской области в г. Пинске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Первомайская, 44, </w:t>
            </w:r>
            <w:smartTag w:uri="urn:schemas-microsoft-com:office:smarttags" w:element="metricconverter">
              <w:smartTagPr>
                <w:attr w:name="ProductID" w:val="225710, г"/>
              </w:smartTagPr>
              <w:r w:rsidRPr="00781412">
                <w:rPr>
                  <w:kern w:val="28"/>
                  <w:sz w:val="20"/>
                  <w:szCs w:val="28"/>
                </w:rPr>
                <w:t>225710, г</w:t>
              </w:r>
            </w:smartTag>
            <w:r w:rsidRPr="00781412">
              <w:rPr>
                <w:kern w:val="28"/>
                <w:sz w:val="20"/>
                <w:szCs w:val="28"/>
              </w:rPr>
              <w:t>. Пинск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Главное управление Нацбанка по Витебской области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Ленина, 17, </w:t>
            </w:r>
            <w:smartTag w:uri="urn:schemas-microsoft-com:office:smarttags" w:element="metricconverter">
              <w:smartTagPr>
                <w:attr w:name="ProductID" w:val="210015, г"/>
              </w:smartTagPr>
              <w:r w:rsidRPr="00781412">
                <w:rPr>
                  <w:kern w:val="28"/>
                  <w:sz w:val="20"/>
                  <w:szCs w:val="28"/>
                </w:rPr>
                <w:t>210015, г</w:t>
              </w:r>
            </w:smartTag>
            <w:r w:rsidRPr="00781412">
              <w:rPr>
                <w:kern w:val="28"/>
                <w:sz w:val="20"/>
                <w:szCs w:val="28"/>
              </w:rPr>
              <w:t>. Витебск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Витебской области в г. Орше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60 лет БССР, 11, </w:t>
            </w:r>
            <w:smartTag w:uri="urn:schemas-microsoft-com:office:smarttags" w:element="metricconverter">
              <w:smartTagPr>
                <w:attr w:name="ProductID" w:val="211396, г"/>
              </w:smartTagPr>
              <w:r w:rsidRPr="00781412">
                <w:rPr>
                  <w:kern w:val="28"/>
                  <w:sz w:val="20"/>
                  <w:szCs w:val="28"/>
                </w:rPr>
                <w:t>211396, г</w:t>
              </w:r>
            </w:smartTag>
            <w:r w:rsidRPr="00781412">
              <w:rPr>
                <w:kern w:val="28"/>
                <w:sz w:val="20"/>
                <w:szCs w:val="28"/>
              </w:rPr>
              <w:t>. Орша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Витебской области в г. Полоцке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К. Маркса, 24, </w:t>
            </w:r>
            <w:smartTag w:uri="urn:schemas-microsoft-com:office:smarttags" w:element="metricconverter">
              <w:smartTagPr>
                <w:attr w:name="ProductID" w:val="211400, г"/>
              </w:smartTagPr>
              <w:r w:rsidRPr="00781412">
                <w:rPr>
                  <w:kern w:val="28"/>
                  <w:sz w:val="20"/>
                  <w:szCs w:val="28"/>
                </w:rPr>
                <w:t>211400, г</w:t>
              </w:r>
            </w:smartTag>
            <w:r w:rsidRPr="00781412">
              <w:rPr>
                <w:kern w:val="28"/>
                <w:sz w:val="20"/>
                <w:szCs w:val="28"/>
              </w:rPr>
              <w:t>. Полоцк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Главное управление Нацбанка по Гомельской области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45050, г"/>
              </w:smartTagPr>
              <w:r w:rsidRPr="00781412">
                <w:rPr>
                  <w:kern w:val="28"/>
                  <w:sz w:val="20"/>
                  <w:szCs w:val="28"/>
                </w:rPr>
                <w:t>245050, г</w:t>
              </w:r>
            </w:smartTag>
            <w:r w:rsidRPr="00781412">
              <w:rPr>
                <w:kern w:val="28"/>
                <w:sz w:val="20"/>
                <w:szCs w:val="28"/>
              </w:rPr>
              <w:t>. Гомель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Гомельской области в г. Жлобине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Урицкого, 86, </w:t>
            </w:r>
            <w:smartTag w:uri="urn:schemas-microsoft-com:office:smarttags" w:element="metricconverter">
              <w:smartTagPr>
                <w:attr w:name="ProductID" w:val="247210, г"/>
              </w:smartTagPr>
              <w:r w:rsidRPr="00781412">
                <w:rPr>
                  <w:kern w:val="28"/>
                  <w:sz w:val="20"/>
                  <w:szCs w:val="28"/>
                </w:rPr>
                <w:t>247210, г</w:t>
              </w:r>
            </w:smartTag>
            <w:r w:rsidRPr="00781412">
              <w:rPr>
                <w:kern w:val="28"/>
                <w:sz w:val="20"/>
                <w:szCs w:val="28"/>
              </w:rPr>
              <w:t>. Жлобин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Гомельской области в г. Мозыре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Ленинская, 6, </w:t>
            </w:r>
            <w:smartTag w:uri="urn:schemas-microsoft-com:office:smarttags" w:element="metricconverter">
              <w:smartTagPr>
                <w:attr w:name="ProductID" w:val="247760, г"/>
              </w:smartTagPr>
              <w:r w:rsidRPr="00781412">
                <w:rPr>
                  <w:kern w:val="28"/>
                  <w:sz w:val="20"/>
                  <w:szCs w:val="28"/>
                </w:rPr>
                <w:t>247760, г</w:t>
              </w:r>
            </w:smartTag>
            <w:r w:rsidRPr="00781412">
              <w:rPr>
                <w:kern w:val="28"/>
                <w:sz w:val="20"/>
                <w:szCs w:val="28"/>
              </w:rPr>
              <w:t>. Мозырь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Главное управление Нацбанка по Гродненской области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Карбышева, 17, </w:t>
            </w:r>
            <w:smartTag w:uri="urn:schemas-microsoft-com:office:smarttags" w:element="metricconverter">
              <w:smartTagPr>
                <w:attr w:name="ProductID" w:val="230023, г"/>
              </w:smartTagPr>
              <w:r w:rsidRPr="00781412">
                <w:rPr>
                  <w:kern w:val="28"/>
                  <w:sz w:val="20"/>
                  <w:szCs w:val="28"/>
                </w:rPr>
                <w:t>230023, г</w:t>
              </w:r>
            </w:smartTag>
            <w:r w:rsidRPr="00781412">
              <w:rPr>
                <w:kern w:val="28"/>
                <w:sz w:val="20"/>
                <w:szCs w:val="28"/>
              </w:rPr>
              <w:t>. Гродно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Гродненской области в г. Лиде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Советская, 10, </w:t>
            </w:r>
            <w:smartTag w:uri="urn:schemas-microsoft-com:office:smarttags" w:element="metricconverter">
              <w:smartTagPr>
                <w:attr w:name="ProductID" w:val="231300, г"/>
              </w:smartTagPr>
              <w:r w:rsidRPr="00781412">
                <w:rPr>
                  <w:kern w:val="28"/>
                  <w:sz w:val="20"/>
                  <w:szCs w:val="28"/>
                </w:rPr>
                <w:t>231300, г</w:t>
              </w:r>
            </w:smartTag>
            <w:r w:rsidRPr="00781412">
              <w:rPr>
                <w:kern w:val="28"/>
                <w:sz w:val="20"/>
                <w:szCs w:val="28"/>
              </w:rPr>
              <w:t>. Лида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Главное управление Нацбанка по Могилевской области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Ленинская, 50, </w:t>
            </w:r>
            <w:smartTag w:uri="urn:schemas-microsoft-com:office:smarttags" w:element="metricconverter">
              <w:smartTagPr>
                <w:attr w:name="ProductID" w:val="212030, г"/>
              </w:smartTagPr>
              <w:r w:rsidRPr="00781412">
                <w:rPr>
                  <w:kern w:val="28"/>
                  <w:sz w:val="20"/>
                  <w:szCs w:val="28"/>
                </w:rPr>
                <w:t>212030, г</w:t>
              </w:r>
            </w:smartTag>
            <w:r w:rsidRPr="00781412">
              <w:rPr>
                <w:kern w:val="28"/>
                <w:sz w:val="20"/>
                <w:szCs w:val="28"/>
              </w:rPr>
              <w:t>. Могилев</w:t>
            </w:r>
          </w:p>
        </w:tc>
      </w:tr>
      <w:tr w:rsidR="008916F3" w:rsidRPr="00781412" w:rsidTr="00781412">
        <w:trPr>
          <w:tblCellSpacing w:w="-8" w:type="dxa"/>
        </w:trPr>
        <w:tc>
          <w:tcPr>
            <w:tcW w:w="28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>Отделение Главного управления Нацбанка по Могилевской области в г. Бобруйске</w:t>
            </w:r>
          </w:p>
        </w:tc>
        <w:tc>
          <w:tcPr>
            <w:tcW w:w="217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916F3" w:rsidRPr="00781412" w:rsidRDefault="008916F3" w:rsidP="00781412">
            <w:pPr>
              <w:autoSpaceDE w:val="0"/>
              <w:autoSpaceDN w:val="0"/>
              <w:adjustRightInd w:val="0"/>
              <w:spacing w:line="360" w:lineRule="auto"/>
              <w:rPr>
                <w:kern w:val="28"/>
                <w:sz w:val="20"/>
                <w:szCs w:val="28"/>
              </w:rPr>
            </w:pPr>
            <w:r w:rsidRPr="00781412">
              <w:rPr>
                <w:kern w:val="28"/>
                <w:sz w:val="20"/>
                <w:szCs w:val="28"/>
              </w:rPr>
              <w:t xml:space="preserve">ул. Советская, 85, </w:t>
            </w:r>
            <w:smartTag w:uri="urn:schemas-microsoft-com:office:smarttags" w:element="metricconverter">
              <w:smartTagPr>
                <w:attr w:name="ProductID" w:val="213826, г"/>
              </w:smartTagPr>
              <w:r w:rsidRPr="00781412">
                <w:rPr>
                  <w:kern w:val="28"/>
                  <w:sz w:val="20"/>
                  <w:szCs w:val="28"/>
                </w:rPr>
                <w:t>213826, г</w:t>
              </w:r>
            </w:smartTag>
            <w:r w:rsidRPr="00781412">
              <w:rPr>
                <w:kern w:val="28"/>
                <w:sz w:val="20"/>
                <w:szCs w:val="28"/>
              </w:rPr>
              <w:t>. Бобруйск</w:t>
            </w:r>
          </w:p>
        </w:tc>
      </w:tr>
    </w:tbl>
    <w:p w:rsidR="00781412" w:rsidRDefault="00781412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При представлении заявления субъект кредитной истории обязан предъявить документ, удостоверяющий личность, а его представитель - документ, удостоверяющий личность, и документ, подтверждающий полномочия, оформленный в установленном порядке. Кредитный отчет в виде электронного документа предоставляется не позднее 3 банковских дней со дня принятия решения о предоставлении отчета, а в виде документа на бумажном носителе - в день принятия решения о предоставлении отчета.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Кредитный отчет в виде документа на бумажном носителе вручается лично субъекту кредитной истории (его представителю). Для получения отчета субъект кредитной истории обязан предъявить документ, удостоверяющий личность, а его представитель - документ, удостоверяющий личность, и документ, подтверждающий полномочия, оформленный в установленном порядке.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После получения кредитного отчета в виде документа на бумажном носителе субъект кредитной истории (его представитель) обязан сделать на заявлении отметку о получении отчета и подписать ее с указанием фамилии, инициалов, а также даты получения.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Субъекту кредитной истории кредитный отчет предоставляется по его заявлению на получение кредитного отчета без уплаты вознаграждения один раз в течение календарного года и неограниченное количество раз в течение календарного года за вознаграждение. Отчет, запрашиваемый субъектом кредитной истории после изменения недостоверных сведений, входящих в состав его кредитной истории, по результатам рассмотрения заявления субъекта кредитной истории, предоставляется без уплаты вознаграждения.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непредставления и (или) непредъявления документов, необходимых для получения отчета;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составления запроса (заявления) на получение отчета с нарушением установленной формы или отсутствия в нем сведений, определенных Нацбанком;</w:t>
      </w:r>
    </w:p>
    <w:p w:rsidR="008916F3" w:rsidRPr="00781412" w:rsidRDefault="008916F3" w:rsidP="007814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781412">
        <w:rPr>
          <w:kern w:val="28"/>
          <w:sz w:val="28"/>
          <w:szCs w:val="28"/>
        </w:rPr>
        <w:t>отсутствия у лица, подписавшего запрос (заявление) на получение отчета, необходимых для этого полномочий.</w:t>
      </w:r>
    </w:p>
    <w:p w:rsidR="008916F3" w:rsidRPr="00781412" w:rsidRDefault="008916F3" w:rsidP="00781412">
      <w:pPr>
        <w:pStyle w:val="a7"/>
        <w:spacing w:line="360" w:lineRule="auto"/>
        <w:rPr>
          <w:kern w:val="28"/>
          <w:sz w:val="28"/>
        </w:rPr>
      </w:pPr>
      <w:r w:rsidRPr="00781412">
        <w:rPr>
          <w:sz w:val="28"/>
        </w:rPr>
        <w:br w:type="page"/>
      </w:r>
      <w:r w:rsidRPr="00781412">
        <w:rPr>
          <w:kern w:val="28"/>
          <w:sz w:val="28"/>
        </w:rPr>
        <w:t>СПИСОК ИСПОЛЬЗОВАННЫХ ИСТОЧНИКОВ</w:t>
      </w:r>
    </w:p>
    <w:p w:rsidR="008916F3" w:rsidRPr="00781412" w:rsidRDefault="008916F3" w:rsidP="00781412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Year" w:val="2004"/>
          <w:attr w:name="Day" w:val="17"/>
          <w:attr w:name="Month" w:val="10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Гражданский кодекс Республики Беларусь от </w:t>
      </w:r>
      <w:smartTag w:uri="urn:schemas-microsoft-com:office:smarttags" w:element="date">
        <w:smartTagPr>
          <w:attr w:name="Year" w:val="1998"/>
          <w:attr w:name="Day" w:val="19"/>
          <w:attr w:name="Month" w:val="11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19 ноября 1998г.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>: с комментариями к разделам / Коммент. В. Ф. Чигира // Мн.: Амалфея, 1999.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Налоговый кодекс Республики Беларусь от </w:t>
      </w:r>
      <w:smartTag w:uri="urn:schemas-microsoft-com:office:smarttags" w:element="date">
        <w:smartTagPr>
          <w:attr w:name="Year" w:val="2002"/>
          <w:attr w:name="Day" w:val="19"/>
          <w:attr w:name="Month" w:val="12"/>
          <w:attr w:name="ls" w:val="trans"/>
        </w:smartTagPr>
        <w:r w:rsidRPr="00781412">
          <w:rPr>
            <w:rFonts w:ascii="Times New Roman" w:hAnsi="Times New Roman" w:cs="Times New Roman"/>
            <w:iCs/>
            <w:kern w:val="28"/>
            <w:sz w:val="28"/>
            <w:szCs w:val="28"/>
          </w:rPr>
          <w:t xml:space="preserve">19 декабря </w:t>
        </w:r>
        <w:smartTag w:uri="urn:schemas-microsoft-com:office:smarttags" w:element="metricconverter">
          <w:smartTagPr>
            <w:attr w:name="ProductID" w:val="2002 г"/>
          </w:smartTagPr>
          <w:r w:rsidRPr="00781412">
            <w:rPr>
              <w:rFonts w:ascii="Times New Roman" w:hAnsi="Times New Roman" w:cs="Times New Roman"/>
              <w:iCs/>
              <w:kern w:val="28"/>
              <w:sz w:val="28"/>
              <w:szCs w:val="28"/>
            </w:rPr>
            <w:t>2002 г</w:t>
          </w:r>
        </w:smartTag>
        <w:r w:rsidRPr="00781412">
          <w:rPr>
            <w:rFonts w:ascii="Times New Roman" w:hAnsi="Times New Roman" w:cs="Times New Roman"/>
            <w:iCs/>
            <w:kern w:val="28"/>
            <w:sz w:val="28"/>
            <w:szCs w:val="28"/>
          </w:rPr>
          <w:t>.</w:t>
        </w:r>
      </w:smartTag>
      <w:r w:rsidRPr="00781412">
        <w:rPr>
          <w:rFonts w:ascii="Times New Roman" w:hAnsi="Times New Roman" w:cs="Times New Roman"/>
          <w:iCs/>
          <w:kern w:val="28"/>
          <w:sz w:val="28"/>
          <w:szCs w:val="28"/>
        </w:rPr>
        <w:t xml:space="preserve"> №166-З. Принят Палатой представителей </w:t>
      </w:r>
      <w:smartTag w:uri="urn:schemas-microsoft-com:office:smarttags" w:element="date">
        <w:smartTagPr>
          <w:attr w:name="Year" w:val="2002"/>
          <w:attr w:name="Day" w:val="15"/>
          <w:attr w:name="Month" w:val="11"/>
          <w:attr w:name="ls" w:val="trans"/>
        </w:smartTagPr>
        <w:r w:rsidRPr="00781412">
          <w:rPr>
            <w:rFonts w:ascii="Times New Roman" w:hAnsi="Times New Roman" w:cs="Times New Roman"/>
            <w:iCs/>
            <w:kern w:val="28"/>
            <w:sz w:val="28"/>
            <w:szCs w:val="28"/>
          </w:rPr>
          <w:t>15 ноября 2002 года</w:t>
        </w:r>
      </w:smartTag>
      <w:r w:rsidRPr="00781412">
        <w:rPr>
          <w:rFonts w:ascii="Times New Roman" w:hAnsi="Times New Roman" w:cs="Times New Roman"/>
          <w:iCs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2002"/>
          <w:attr w:name="Day" w:val="2"/>
          <w:attr w:name="Month" w:val="12"/>
          <w:attr w:name="ls" w:val="trans"/>
        </w:smartTagPr>
        <w:r w:rsidRPr="00781412">
          <w:rPr>
            <w:rFonts w:ascii="Times New Roman" w:hAnsi="Times New Roman" w:cs="Times New Roman"/>
            <w:iCs/>
            <w:kern w:val="28"/>
            <w:sz w:val="28"/>
            <w:szCs w:val="28"/>
          </w:rPr>
          <w:t>2 декабря 2002 года</w:t>
        </w:r>
      </w:smartTag>
      <w:r w:rsidRPr="00781412">
        <w:rPr>
          <w:rFonts w:ascii="Times New Roman" w:hAnsi="Times New Roman" w:cs="Times New Roman"/>
          <w:iCs/>
          <w:kern w:val="28"/>
          <w:sz w:val="28"/>
          <w:szCs w:val="28"/>
        </w:rPr>
        <w:t xml:space="preserve">. (Национальный реестр правовых актов Республики Беларусь, </w:t>
      </w:r>
      <w:smartTag w:uri="urn:schemas-microsoft-com:office:smarttags" w:element="date">
        <w:smartTagPr>
          <w:attr w:name="Year" w:val="2003"/>
          <w:attr w:name="Day" w:val="13"/>
          <w:attr w:name="Month" w:val="01"/>
          <w:attr w:name="ls" w:val="trans"/>
        </w:smartTagPr>
        <w:r w:rsidRPr="00781412">
          <w:rPr>
            <w:rFonts w:ascii="Times New Roman" w:hAnsi="Times New Roman" w:cs="Times New Roman"/>
            <w:iCs/>
            <w:kern w:val="28"/>
            <w:sz w:val="28"/>
            <w:szCs w:val="28"/>
          </w:rPr>
          <w:t>13.01.2003</w:t>
        </w:r>
      </w:smartTag>
      <w:r w:rsidRPr="00781412">
        <w:rPr>
          <w:rFonts w:ascii="Times New Roman" w:hAnsi="Times New Roman" w:cs="Times New Roman"/>
          <w:iCs/>
          <w:kern w:val="28"/>
          <w:sz w:val="28"/>
          <w:szCs w:val="28"/>
        </w:rPr>
        <w:t xml:space="preserve">, № 4, рег. № 2/920 от </w:t>
      </w:r>
      <w:smartTag w:uri="urn:schemas-microsoft-com:office:smarttags" w:element="date">
        <w:smartTagPr>
          <w:attr w:name="Year" w:val="2003"/>
          <w:attr w:name="Day" w:val="02"/>
          <w:attr w:name="Month" w:val="01"/>
          <w:attr w:name="ls" w:val="trans"/>
        </w:smartTagPr>
        <w:r w:rsidRPr="00781412">
          <w:rPr>
            <w:rFonts w:ascii="Times New Roman" w:hAnsi="Times New Roman" w:cs="Times New Roman"/>
            <w:iCs/>
            <w:kern w:val="28"/>
            <w:sz w:val="28"/>
            <w:szCs w:val="28"/>
          </w:rPr>
          <w:t>02.01.2003</w:t>
        </w:r>
      </w:smartTag>
      <w:r w:rsidRPr="00781412">
        <w:rPr>
          <w:rFonts w:ascii="Times New Roman" w:hAnsi="Times New Roman" w:cs="Times New Roman"/>
          <w:iCs/>
          <w:kern w:val="28"/>
          <w:sz w:val="28"/>
          <w:szCs w:val="28"/>
        </w:rPr>
        <w:t>)</w:t>
      </w:r>
      <w:r w:rsidRPr="0078141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Кодекс Республики Беларусь об административных правонарушениях от </w:t>
      </w:r>
      <w:smartTag w:uri="urn:schemas-microsoft-com:office:smarttags" w:element="date">
        <w:smartTagPr>
          <w:attr w:name="Year" w:val="2003"/>
          <w:attr w:name="Day" w:val="21"/>
          <w:attr w:name="Month" w:val="4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21 апреля 2003г.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 № 194-З. Принят Палатой представителей </w:t>
      </w:r>
      <w:smartTag w:uri="urn:schemas-microsoft-com:office:smarttags" w:element="date">
        <w:smartTagPr>
          <w:attr w:name="Year" w:val="2002"/>
          <w:attr w:name="Day" w:val="17"/>
          <w:attr w:name="Month" w:val="12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17 декабря 2002 года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2003"/>
          <w:attr w:name="Day" w:val="2"/>
          <w:attr w:name="Month" w:val="4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2 апреля 2003 года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 (Национальный реестр правовых актов Республики Беларусь, </w:t>
      </w:r>
      <w:smartTag w:uri="urn:schemas-microsoft-com:office:smarttags" w:element="date">
        <w:smartTagPr>
          <w:attr w:name="Year" w:val="2003"/>
          <w:attr w:name="Day" w:val="09"/>
          <w:attr w:name="Month" w:val="06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09.06.2003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, № 63, рег. № 2/946 от </w:t>
      </w:r>
      <w:smartTag w:uri="urn:schemas-microsoft-com:office:smarttags" w:element="date">
        <w:smartTagPr>
          <w:attr w:name="Year" w:val="2003"/>
          <w:attr w:name="Day" w:val="20"/>
          <w:attr w:name="Month" w:val="05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20.05.2003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>г).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Процессуально-исполнительный кодекс Республики Беларусь об административных правонарушениях от </w:t>
      </w:r>
      <w:smartTag w:uri="urn:schemas-microsoft-com:office:smarttags" w:element="date">
        <w:smartTagPr>
          <w:attr w:name="Year" w:val="2006"/>
          <w:attr w:name="Day" w:val="20"/>
          <w:attr w:name="Month" w:val="12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 xml:space="preserve">20 декабря </w:t>
        </w:r>
        <w:smartTag w:uri="urn:schemas-microsoft-com:office:smarttags" w:element="metricconverter">
          <w:smartTagPr>
            <w:attr w:name="ProductID" w:val="2006 г"/>
          </w:smartTagPr>
          <w:r w:rsidRPr="00781412">
            <w:rPr>
              <w:rFonts w:ascii="Times New Roman" w:hAnsi="Times New Roman" w:cs="Times New Roman"/>
              <w:kern w:val="28"/>
              <w:sz w:val="28"/>
              <w:szCs w:val="28"/>
            </w:rPr>
            <w:t>2006 г</w:t>
          </w:r>
        </w:smartTag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.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 № 194-З. Принят Палатой представителей </w:t>
      </w:r>
      <w:smartTag w:uri="urn:schemas-microsoft-com:office:smarttags" w:element="date">
        <w:smartTagPr>
          <w:attr w:name="Year" w:val="2006"/>
          <w:attr w:name="Day" w:val="9"/>
          <w:attr w:name="Month" w:val="11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9 ноября 2006 года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2006"/>
          <w:attr w:name="Day" w:val="1"/>
          <w:attr w:name="Month" w:val="12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1 декабря 2006 года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 (Национальный реестр правовых актов Республики Беларусь, </w:t>
      </w:r>
      <w:smartTag w:uri="urn:schemas-microsoft-com:office:smarttags" w:element="date">
        <w:smartTagPr>
          <w:attr w:name="Year" w:val="2007"/>
          <w:attr w:name="Day" w:val="17"/>
          <w:attr w:name="Month" w:val="01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17.01.2007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, № 14, рег. № 2/1291 от </w:t>
      </w:r>
      <w:smartTag w:uri="urn:schemas-microsoft-com:office:smarttags" w:element="date">
        <w:smartTagPr>
          <w:attr w:name="Year" w:val="2007"/>
          <w:attr w:name="Day" w:val="03"/>
          <w:attr w:name="Month" w:val="01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03.01.2007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>).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Декрет Президента Республики Беларусь от </w:t>
      </w:r>
      <w:smartTag w:uri="urn:schemas-microsoft-com:office:smarttags" w:element="date">
        <w:smartTagPr>
          <w:attr w:name="Year" w:val="1999"/>
          <w:attr w:name="Day" w:val="16"/>
          <w:attr w:name="Month" w:val="3"/>
          <w:attr w:name="ls" w:val="trans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16 марта 1999г.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 № 11 «Об упорядочении государственной регистрации и ликвидации (прекращения деятельности) субъектов хозяйствования» (Национальный реестр правовых актов Республики Беларусь, 1999г., №23, 1/191; </w:t>
      </w:r>
      <w:smartTag w:uri="urn:schemas-microsoft-com:office:smarttags" w:element="metricconverter">
        <w:smartTagPr>
          <w:attr w:name="ProductID" w:val="2002 г"/>
        </w:smartTagPr>
        <w:r w:rsidRPr="00781412">
          <w:rPr>
            <w:rFonts w:ascii="Times New Roman" w:hAnsi="Times New Roman" w:cs="Times New Roman"/>
            <w:kern w:val="28"/>
            <w:sz w:val="28"/>
            <w:szCs w:val="28"/>
          </w:rPr>
          <w:t>2002 г</w:t>
        </w:r>
      </w:smartTag>
      <w:r w:rsidRPr="00781412">
        <w:rPr>
          <w:rFonts w:ascii="Times New Roman" w:hAnsi="Times New Roman" w:cs="Times New Roman"/>
          <w:kern w:val="28"/>
          <w:sz w:val="28"/>
          <w:szCs w:val="28"/>
        </w:rPr>
        <w:t>., № 142, 1/4230).</w:t>
      </w:r>
    </w:p>
    <w:p w:rsidR="008916F3" w:rsidRPr="00781412" w:rsidRDefault="00FC2B9F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hyperlink r:id="rId7" w:history="1">
        <w:r w:rsidR="008916F3" w:rsidRPr="00781412">
          <w:rPr>
            <w:rStyle w:val="a9"/>
            <w:rFonts w:ascii="Times New Roman" w:hAnsi="Times New Roman"/>
            <w:color w:val="auto"/>
            <w:kern w:val="28"/>
            <w:sz w:val="28"/>
            <w:szCs w:val="28"/>
          </w:rPr>
          <w:t>Веремейко Юрий</w:t>
        </w:r>
      </w:hyperlink>
      <w:r w:rsidR="008916F3" w:rsidRPr="00781412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hyperlink r:id="rId8" w:history="1">
        <w:r w:rsidR="008916F3" w:rsidRPr="00781412">
          <w:rPr>
            <w:rStyle w:val="a9"/>
            <w:rFonts w:ascii="Times New Roman" w:hAnsi="Times New Roman"/>
            <w:color w:val="auto"/>
            <w:kern w:val="28"/>
            <w:sz w:val="28"/>
            <w:szCs w:val="28"/>
          </w:rPr>
          <w:t>Косов Андрей</w:t>
        </w:r>
      </w:hyperlink>
      <w:r w:rsidR="008916F3" w:rsidRPr="00781412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hyperlink r:id="rId9" w:history="1">
        <w:r w:rsidR="008916F3" w:rsidRPr="00781412">
          <w:rPr>
            <w:rStyle w:val="a9"/>
            <w:rFonts w:ascii="Times New Roman" w:hAnsi="Times New Roman"/>
            <w:color w:val="auto"/>
            <w:kern w:val="28"/>
            <w:sz w:val="28"/>
            <w:szCs w:val="28"/>
          </w:rPr>
          <w:t>Фадеева Елена</w:t>
        </w:r>
      </w:hyperlink>
      <w:r w:rsidR="008916F3" w:rsidRPr="00781412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8916F3" w:rsidRPr="00781412">
        <w:rPr>
          <w:rFonts w:ascii="Times New Roman" w:hAnsi="Times New Roman" w:cs="Times New Roman"/>
          <w:bCs/>
          <w:kern w:val="28"/>
          <w:sz w:val="28"/>
          <w:szCs w:val="28"/>
        </w:rPr>
        <w:t xml:space="preserve">Комментарий к Налоговому кодексу Республики Беларусь (Общая часть), </w:t>
      </w:r>
      <w:r w:rsidR="008916F3" w:rsidRPr="00781412">
        <w:rPr>
          <w:rStyle w:val="gray1"/>
          <w:rFonts w:ascii="Times New Roman" w:hAnsi="Times New Roman"/>
          <w:color w:val="auto"/>
          <w:kern w:val="28"/>
          <w:sz w:val="28"/>
          <w:szCs w:val="28"/>
        </w:rPr>
        <w:t>Издательство</w:t>
      </w:r>
      <w:r w:rsidR="008916F3" w:rsidRPr="00781412">
        <w:rPr>
          <w:rFonts w:ascii="Times New Roman" w:hAnsi="Times New Roman" w:cs="Times New Roman"/>
          <w:kern w:val="28"/>
          <w:sz w:val="28"/>
          <w:szCs w:val="28"/>
        </w:rPr>
        <w:t>: Тесей. Минск.</w:t>
      </w:r>
      <w:r w:rsidR="008916F3" w:rsidRPr="00781412">
        <w:rPr>
          <w:rFonts w:ascii="Times New Roman" w:hAnsi="Times New Roman" w:cs="Times New Roman"/>
          <w:bCs/>
          <w:kern w:val="28"/>
          <w:sz w:val="28"/>
          <w:szCs w:val="28"/>
        </w:rPr>
        <w:t xml:space="preserve"> 2007г.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Style w:val="orange1"/>
          <w:rFonts w:ascii="Times New Roman" w:hAnsi="Times New Roman"/>
          <w:color w:val="auto"/>
          <w:kern w:val="28"/>
          <w:sz w:val="28"/>
          <w:szCs w:val="28"/>
        </w:rPr>
        <w:t>Кишкевич А.Д., Пилипенко А.А.</w:t>
      </w:r>
      <w:r w:rsidRPr="00781412">
        <w:rPr>
          <w:rFonts w:ascii="Times New Roman" w:hAnsi="Times New Roman" w:cs="Times New Roman"/>
          <w:kern w:val="28"/>
          <w:sz w:val="28"/>
          <w:szCs w:val="28"/>
        </w:rPr>
        <w:t xml:space="preserve">: Налоговое право Республики Беларусь. </w:t>
      </w:r>
      <w:r w:rsidRPr="00781412">
        <w:rPr>
          <w:rStyle w:val="gray1"/>
          <w:rFonts w:ascii="Times New Roman" w:hAnsi="Times New Roman"/>
          <w:color w:val="auto"/>
          <w:kern w:val="28"/>
          <w:sz w:val="28"/>
          <w:szCs w:val="28"/>
        </w:rPr>
        <w:t>Издательство</w:t>
      </w:r>
      <w:r w:rsidRPr="00781412">
        <w:rPr>
          <w:rFonts w:ascii="Times New Roman" w:hAnsi="Times New Roman" w:cs="Times New Roman"/>
          <w:kern w:val="28"/>
          <w:sz w:val="28"/>
          <w:szCs w:val="28"/>
        </w:rPr>
        <w:t>: Тесей. Минск. 2002. 304с.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>Л.А. Ханкевич</w:t>
      </w:r>
      <w:r w:rsidRPr="0078141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781412">
        <w:rPr>
          <w:rFonts w:ascii="Times New Roman" w:hAnsi="Times New Roman" w:cs="Times New Roman"/>
          <w:kern w:val="28"/>
          <w:sz w:val="28"/>
          <w:szCs w:val="28"/>
        </w:rPr>
        <w:t>«Финансовое право Республики Беларусь». Учебное пособие / Мн. Издательство «Амалфея» 2002г.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>Маньковский И.А. Налоговое право Республики Беларусь. Общие положения: Практическое пособие. – Мн.: «Молодежное научное общество», 2000. 160с.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>Финансовое право. Учебник / Под ред. проф. О.Н. Горбуновой Издательство «Юристъ» М., 2003.</w:t>
      </w:r>
    </w:p>
    <w:p w:rsidR="008916F3" w:rsidRPr="00781412" w:rsidRDefault="008916F3" w:rsidP="00781412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81412">
        <w:rPr>
          <w:rFonts w:ascii="Times New Roman" w:hAnsi="Times New Roman" w:cs="Times New Roman"/>
          <w:kern w:val="28"/>
          <w:sz w:val="28"/>
          <w:szCs w:val="28"/>
        </w:rPr>
        <w:t>Ханкевич ЛА. Налоги и налоговое право Республики Беларусь. Мн., 1999.</w:t>
      </w:r>
      <w:bookmarkStart w:id="0" w:name="_GoBack"/>
      <w:bookmarkEnd w:id="0"/>
    </w:p>
    <w:sectPr w:rsidR="008916F3" w:rsidRPr="00781412" w:rsidSect="00781412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6C" w:rsidRDefault="0006626C">
      <w:r>
        <w:separator/>
      </w:r>
    </w:p>
  </w:endnote>
  <w:endnote w:type="continuationSeparator" w:id="0">
    <w:p w:rsidR="0006626C" w:rsidRDefault="000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6C" w:rsidRDefault="0006626C">
      <w:r>
        <w:separator/>
      </w:r>
    </w:p>
  </w:footnote>
  <w:footnote w:type="continuationSeparator" w:id="0">
    <w:p w:rsidR="0006626C" w:rsidRDefault="00066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9E" w:rsidRDefault="00706D9E" w:rsidP="00107D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6D9E" w:rsidRDefault="00706D9E" w:rsidP="00706D9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9E" w:rsidRDefault="00706D9E" w:rsidP="00706D9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A123"/>
    <w:multiLevelType w:val="multilevel"/>
    <w:tmpl w:val="08690106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48DD1C81"/>
    <w:multiLevelType w:val="hybridMultilevel"/>
    <w:tmpl w:val="9AE49BAC"/>
    <w:lvl w:ilvl="0" w:tplc="B6BC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9E"/>
    <w:rsid w:val="0006626C"/>
    <w:rsid w:val="00107DA1"/>
    <w:rsid w:val="00157862"/>
    <w:rsid w:val="001D2E16"/>
    <w:rsid w:val="006B2D95"/>
    <w:rsid w:val="00706D9E"/>
    <w:rsid w:val="00781412"/>
    <w:rsid w:val="008916F3"/>
    <w:rsid w:val="00AD3425"/>
    <w:rsid w:val="00BF5A0F"/>
    <w:rsid w:val="00CA1F63"/>
    <w:rsid w:val="00F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7E6E99-A675-439F-AF3D-2508472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sz w:val="28"/>
      <w:szCs w:val="28"/>
    </w:rPr>
  </w:style>
  <w:style w:type="paragraph" w:styleId="a4">
    <w:name w:val="header"/>
    <w:basedOn w:val="a"/>
    <w:link w:val="a5"/>
    <w:uiPriority w:val="99"/>
    <w:rsid w:val="00706D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706D9E"/>
    <w:rPr>
      <w:rFonts w:cs="Times New Roman"/>
    </w:rPr>
  </w:style>
  <w:style w:type="paragraph" w:styleId="a7">
    <w:name w:val="Body Text Indent"/>
    <w:basedOn w:val="a"/>
    <w:link w:val="a8"/>
    <w:uiPriority w:val="99"/>
    <w:rsid w:val="008916F3"/>
    <w:pPr>
      <w:autoSpaceDE w:val="0"/>
      <w:autoSpaceDN w:val="0"/>
      <w:ind w:firstLine="72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91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9">
    <w:name w:val="Hyperlink"/>
    <w:uiPriority w:val="99"/>
    <w:rsid w:val="008916F3"/>
    <w:rPr>
      <w:rFonts w:cs="Times New Roman"/>
      <w:color w:val="0000FF"/>
      <w:u w:val="single"/>
    </w:rPr>
  </w:style>
  <w:style w:type="character" w:customStyle="1" w:styleId="orange1">
    <w:name w:val="orange1"/>
    <w:rsid w:val="008916F3"/>
    <w:rPr>
      <w:rFonts w:cs="Times New Roman"/>
      <w:color w:val="FF9900"/>
    </w:rPr>
  </w:style>
  <w:style w:type="character" w:customStyle="1" w:styleId="gray1">
    <w:name w:val="gray1"/>
    <w:rsid w:val="008916F3"/>
    <w:rPr>
      <w:rFonts w:cs="Times New Roman"/>
      <w:color w:val="808080"/>
    </w:rPr>
  </w:style>
  <w:style w:type="paragraph" w:styleId="aa">
    <w:name w:val="footer"/>
    <w:basedOn w:val="a"/>
    <w:link w:val="ab"/>
    <w:uiPriority w:val="99"/>
    <w:rsid w:val="007814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814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st.by/authors/id_795/?PHPSESSID=07787487ef29c5b11d83bf983c9312c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rist.by/authors/id_498/?PHPSESSID=07787487ef29c5b11d83bf983c9312c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rist.by/authors/id_670/?PHPSESSID=07787487ef29c5b11d83bf983c931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КРЕДИТНЫХ ИСТОРИЙ НА РАБОТУ КОМПАНИЙ</vt:lpstr>
    </vt:vector>
  </TitlesOfParts>
  <Company>Microsoft</Company>
  <LinksUpToDate>false</LinksUpToDate>
  <CharactersWithSpaces>22973</CharactersWithSpaces>
  <SharedDoc>false</SharedDoc>
  <HLinks>
    <vt:vector size="18" baseType="variant">
      <vt:variant>
        <vt:i4>1441896</vt:i4>
      </vt:variant>
      <vt:variant>
        <vt:i4>6</vt:i4>
      </vt:variant>
      <vt:variant>
        <vt:i4>0</vt:i4>
      </vt:variant>
      <vt:variant>
        <vt:i4>5</vt:i4>
      </vt:variant>
      <vt:variant>
        <vt:lpwstr>http://www.jurist.by/authors/id_670/?PHPSESSID=07787487ef29c5b11d83bf983c9312c4</vt:lpwstr>
      </vt:variant>
      <vt:variant>
        <vt:lpwstr/>
      </vt:variant>
      <vt:variant>
        <vt:i4>1572972</vt:i4>
      </vt:variant>
      <vt:variant>
        <vt:i4>3</vt:i4>
      </vt:variant>
      <vt:variant>
        <vt:i4>0</vt:i4>
      </vt:variant>
      <vt:variant>
        <vt:i4>5</vt:i4>
      </vt:variant>
      <vt:variant>
        <vt:lpwstr>http://www.jurist.by/authors/id_795/?PHPSESSID=07787487ef29c5b11d83bf983c9312c4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http://www.jurist.by/authors/id_498/?PHPSESSID=07787487ef29c5b11d83bf983c9312c4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КРЕДИТНЫХ ИСТОРИЙ НА РАБОТУ КОМПАНИЙ</dc:title>
  <dc:subject/>
  <dc:creator>Admin</dc:creator>
  <cp:keywords/>
  <dc:description/>
  <cp:lastModifiedBy>admin</cp:lastModifiedBy>
  <cp:revision>2</cp:revision>
  <dcterms:created xsi:type="dcterms:W3CDTF">2014-04-15T01:16:00Z</dcterms:created>
  <dcterms:modified xsi:type="dcterms:W3CDTF">2014-04-15T01:16:00Z</dcterms:modified>
</cp:coreProperties>
</file>