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8A" w:rsidRPr="00377C39" w:rsidRDefault="0061638A" w:rsidP="00377C39">
      <w:pPr>
        <w:widowControl w:val="0"/>
        <w:spacing w:after="0" w:line="360" w:lineRule="auto"/>
        <w:ind w:firstLine="709"/>
        <w:jc w:val="center"/>
        <w:rPr>
          <w:rFonts w:ascii="Times New Roman" w:hAnsi="Times New Roman"/>
          <w:sz w:val="28"/>
          <w:szCs w:val="24"/>
        </w:rPr>
      </w:pPr>
      <w:r w:rsidRPr="00377C39">
        <w:rPr>
          <w:rFonts w:ascii="Times New Roman" w:hAnsi="Times New Roman"/>
          <w:sz w:val="28"/>
          <w:szCs w:val="24"/>
        </w:rPr>
        <w:t>Министерство общего и профессионального образования Российской Федерации</w:t>
      </w:r>
    </w:p>
    <w:p w:rsidR="0061638A" w:rsidRPr="00377C39" w:rsidRDefault="0061638A" w:rsidP="00377C39">
      <w:pPr>
        <w:widowControl w:val="0"/>
        <w:spacing w:after="0" w:line="360" w:lineRule="auto"/>
        <w:ind w:firstLine="709"/>
        <w:jc w:val="center"/>
        <w:rPr>
          <w:rFonts w:ascii="Times New Roman" w:hAnsi="Times New Roman"/>
          <w:sz w:val="28"/>
          <w:szCs w:val="24"/>
        </w:rPr>
      </w:pPr>
      <w:r w:rsidRPr="00377C39">
        <w:rPr>
          <w:rFonts w:ascii="Times New Roman" w:hAnsi="Times New Roman"/>
          <w:sz w:val="28"/>
          <w:szCs w:val="24"/>
        </w:rPr>
        <w:t xml:space="preserve">Уральский </w:t>
      </w:r>
      <w:r w:rsidR="004E586A" w:rsidRPr="00377C39">
        <w:rPr>
          <w:rFonts w:ascii="Times New Roman" w:hAnsi="Times New Roman"/>
          <w:sz w:val="28"/>
          <w:szCs w:val="24"/>
        </w:rPr>
        <w:t>государственный экономический университет</w:t>
      </w:r>
    </w:p>
    <w:p w:rsidR="004E586A" w:rsidRPr="00377C39" w:rsidRDefault="004E586A" w:rsidP="00377C39">
      <w:pPr>
        <w:widowControl w:val="0"/>
        <w:spacing w:after="0" w:line="360" w:lineRule="auto"/>
        <w:ind w:firstLine="709"/>
        <w:jc w:val="center"/>
        <w:rPr>
          <w:rFonts w:ascii="Times New Roman" w:hAnsi="Times New Roman"/>
          <w:sz w:val="28"/>
          <w:szCs w:val="24"/>
        </w:rPr>
      </w:pPr>
      <w:r w:rsidRPr="00377C39">
        <w:rPr>
          <w:rFonts w:ascii="Times New Roman" w:hAnsi="Times New Roman"/>
          <w:sz w:val="28"/>
          <w:szCs w:val="24"/>
        </w:rPr>
        <w:t>Кафедра мировой экономики</w:t>
      </w:r>
    </w:p>
    <w:p w:rsidR="0061638A" w:rsidRPr="00377C39" w:rsidRDefault="0061638A" w:rsidP="00377C39">
      <w:pPr>
        <w:widowControl w:val="0"/>
        <w:spacing w:after="0" w:line="360" w:lineRule="auto"/>
        <w:ind w:firstLine="709"/>
        <w:jc w:val="center"/>
        <w:rPr>
          <w:rFonts w:ascii="Times New Roman" w:hAnsi="Times New Roman"/>
          <w:sz w:val="28"/>
          <w:szCs w:val="28"/>
        </w:rPr>
      </w:pPr>
    </w:p>
    <w:p w:rsidR="004E586A" w:rsidRDefault="004E586A" w:rsidP="00377C39">
      <w:pPr>
        <w:widowControl w:val="0"/>
        <w:spacing w:after="0" w:line="360" w:lineRule="auto"/>
        <w:ind w:firstLine="709"/>
        <w:jc w:val="center"/>
        <w:rPr>
          <w:rFonts w:ascii="Times New Roman" w:hAnsi="Times New Roman"/>
          <w:sz w:val="28"/>
          <w:szCs w:val="28"/>
        </w:rPr>
      </w:pPr>
    </w:p>
    <w:p w:rsidR="00377C39" w:rsidRDefault="00377C39" w:rsidP="00377C39">
      <w:pPr>
        <w:widowControl w:val="0"/>
        <w:spacing w:after="0" w:line="360" w:lineRule="auto"/>
        <w:ind w:firstLine="709"/>
        <w:jc w:val="center"/>
        <w:rPr>
          <w:rFonts w:ascii="Times New Roman" w:hAnsi="Times New Roman"/>
          <w:sz w:val="28"/>
          <w:szCs w:val="28"/>
        </w:rPr>
      </w:pPr>
    </w:p>
    <w:p w:rsidR="00377C39" w:rsidRDefault="00377C39" w:rsidP="00377C39">
      <w:pPr>
        <w:widowControl w:val="0"/>
        <w:spacing w:after="0" w:line="360" w:lineRule="auto"/>
        <w:ind w:firstLine="709"/>
        <w:jc w:val="center"/>
        <w:rPr>
          <w:rFonts w:ascii="Times New Roman" w:hAnsi="Times New Roman"/>
          <w:sz w:val="28"/>
          <w:szCs w:val="28"/>
        </w:rPr>
      </w:pPr>
    </w:p>
    <w:p w:rsidR="00377C39" w:rsidRDefault="00377C39" w:rsidP="00377C39">
      <w:pPr>
        <w:widowControl w:val="0"/>
        <w:spacing w:after="0" w:line="360" w:lineRule="auto"/>
        <w:ind w:firstLine="709"/>
        <w:jc w:val="center"/>
        <w:rPr>
          <w:rFonts w:ascii="Times New Roman" w:hAnsi="Times New Roman"/>
          <w:sz w:val="28"/>
          <w:szCs w:val="28"/>
        </w:rPr>
      </w:pPr>
    </w:p>
    <w:p w:rsidR="00377C39" w:rsidRDefault="00377C39" w:rsidP="00377C39">
      <w:pPr>
        <w:widowControl w:val="0"/>
        <w:spacing w:after="0" w:line="360" w:lineRule="auto"/>
        <w:ind w:firstLine="709"/>
        <w:jc w:val="center"/>
        <w:rPr>
          <w:rFonts w:ascii="Times New Roman" w:hAnsi="Times New Roman"/>
          <w:sz w:val="28"/>
          <w:szCs w:val="28"/>
        </w:rPr>
      </w:pPr>
    </w:p>
    <w:p w:rsidR="00377C39" w:rsidRDefault="00377C39" w:rsidP="00377C39">
      <w:pPr>
        <w:widowControl w:val="0"/>
        <w:spacing w:after="0" w:line="360" w:lineRule="auto"/>
        <w:ind w:firstLine="709"/>
        <w:jc w:val="center"/>
        <w:rPr>
          <w:rFonts w:ascii="Times New Roman" w:hAnsi="Times New Roman"/>
          <w:sz w:val="28"/>
          <w:szCs w:val="28"/>
        </w:rPr>
      </w:pPr>
    </w:p>
    <w:p w:rsidR="00377C39" w:rsidRPr="00377C39" w:rsidRDefault="00377C39" w:rsidP="00377C39">
      <w:pPr>
        <w:widowControl w:val="0"/>
        <w:spacing w:after="0" w:line="360" w:lineRule="auto"/>
        <w:ind w:firstLine="709"/>
        <w:jc w:val="center"/>
        <w:rPr>
          <w:rFonts w:ascii="Times New Roman" w:hAnsi="Times New Roman"/>
          <w:sz w:val="28"/>
          <w:szCs w:val="28"/>
        </w:rPr>
      </w:pPr>
    </w:p>
    <w:p w:rsidR="0061638A" w:rsidRPr="00377C39" w:rsidRDefault="0061638A" w:rsidP="00377C39">
      <w:pPr>
        <w:widowControl w:val="0"/>
        <w:spacing w:after="0" w:line="360" w:lineRule="auto"/>
        <w:ind w:firstLine="709"/>
        <w:jc w:val="center"/>
        <w:rPr>
          <w:rFonts w:ascii="Times New Roman" w:hAnsi="Times New Roman"/>
          <w:sz w:val="28"/>
          <w:szCs w:val="28"/>
        </w:rPr>
      </w:pPr>
      <w:r w:rsidRPr="00377C39">
        <w:rPr>
          <w:rFonts w:ascii="Times New Roman" w:hAnsi="Times New Roman"/>
          <w:sz w:val="28"/>
          <w:szCs w:val="28"/>
        </w:rPr>
        <w:t>Внешняя торговля России</w:t>
      </w:r>
      <w:r w:rsidR="004E586A" w:rsidRPr="00377C39">
        <w:rPr>
          <w:rFonts w:ascii="Times New Roman" w:hAnsi="Times New Roman"/>
          <w:sz w:val="28"/>
          <w:szCs w:val="28"/>
        </w:rPr>
        <w:t xml:space="preserve"> (анализ)</w:t>
      </w:r>
    </w:p>
    <w:p w:rsidR="004E586A" w:rsidRPr="00377C39" w:rsidRDefault="004E586A" w:rsidP="00377C39">
      <w:pPr>
        <w:widowControl w:val="0"/>
        <w:spacing w:after="0" w:line="360" w:lineRule="auto"/>
        <w:ind w:firstLine="709"/>
        <w:jc w:val="center"/>
        <w:rPr>
          <w:rFonts w:ascii="Times New Roman" w:hAnsi="Times New Roman"/>
          <w:sz w:val="28"/>
          <w:szCs w:val="28"/>
        </w:rPr>
      </w:pPr>
      <w:r w:rsidRPr="00377C39">
        <w:rPr>
          <w:rFonts w:ascii="Times New Roman" w:hAnsi="Times New Roman"/>
          <w:sz w:val="28"/>
          <w:szCs w:val="28"/>
        </w:rPr>
        <w:t>По курсу: « Международные экономические отношения»</w:t>
      </w:r>
    </w:p>
    <w:p w:rsidR="00317E79" w:rsidRPr="00377C39" w:rsidRDefault="00317E79" w:rsidP="00377C39">
      <w:pPr>
        <w:widowControl w:val="0"/>
        <w:spacing w:after="0" w:line="360" w:lineRule="auto"/>
        <w:ind w:firstLine="709"/>
        <w:jc w:val="both"/>
        <w:rPr>
          <w:rFonts w:ascii="Times New Roman" w:hAnsi="Times New Roman"/>
          <w:sz w:val="28"/>
          <w:szCs w:val="28"/>
        </w:rPr>
      </w:pPr>
    </w:p>
    <w:p w:rsidR="00317E79" w:rsidRPr="00377C39" w:rsidRDefault="00317E79" w:rsidP="00377C39">
      <w:pPr>
        <w:widowControl w:val="0"/>
        <w:spacing w:after="0" w:line="360" w:lineRule="auto"/>
        <w:ind w:firstLine="709"/>
        <w:jc w:val="both"/>
        <w:rPr>
          <w:rFonts w:ascii="Times New Roman" w:hAnsi="Times New Roman"/>
          <w:sz w:val="28"/>
          <w:szCs w:val="28"/>
        </w:rPr>
      </w:pPr>
    </w:p>
    <w:p w:rsidR="00317E79" w:rsidRPr="00377C39" w:rsidRDefault="00317E79" w:rsidP="00377C39">
      <w:pPr>
        <w:widowControl w:val="0"/>
        <w:spacing w:after="0" w:line="360" w:lineRule="auto"/>
        <w:ind w:firstLine="709"/>
        <w:jc w:val="both"/>
        <w:rPr>
          <w:rFonts w:ascii="Times New Roman" w:hAnsi="Times New Roman"/>
          <w:sz w:val="28"/>
          <w:szCs w:val="28"/>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2F75E4" w:rsidRPr="00377C39" w:rsidRDefault="002F75E4" w:rsidP="00377C39">
      <w:pPr>
        <w:widowControl w:val="0"/>
        <w:spacing w:after="0" w:line="360" w:lineRule="auto"/>
        <w:ind w:firstLine="709"/>
        <w:jc w:val="both"/>
        <w:rPr>
          <w:rFonts w:ascii="Times New Roman" w:hAnsi="Times New Roman"/>
          <w:sz w:val="28"/>
          <w:szCs w:val="24"/>
        </w:rPr>
      </w:pPr>
    </w:p>
    <w:p w:rsidR="00317E79" w:rsidRPr="00377C39" w:rsidRDefault="00317E79" w:rsidP="00377C39">
      <w:pPr>
        <w:widowControl w:val="0"/>
        <w:spacing w:after="0" w:line="360" w:lineRule="auto"/>
        <w:ind w:firstLine="709"/>
        <w:jc w:val="center"/>
        <w:rPr>
          <w:rFonts w:ascii="Times New Roman" w:hAnsi="Times New Roman"/>
          <w:sz w:val="28"/>
          <w:szCs w:val="24"/>
        </w:rPr>
      </w:pPr>
      <w:r w:rsidRPr="00377C39">
        <w:rPr>
          <w:rFonts w:ascii="Times New Roman" w:hAnsi="Times New Roman"/>
          <w:sz w:val="28"/>
          <w:szCs w:val="24"/>
        </w:rPr>
        <w:t>Екатеринбург</w:t>
      </w:r>
    </w:p>
    <w:p w:rsidR="00084335" w:rsidRPr="00377C39" w:rsidRDefault="00317E79" w:rsidP="00377C39">
      <w:pPr>
        <w:widowControl w:val="0"/>
        <w:spacing w:after="0" w:line="360" w:lineRule="auto"/>
        <w:ind w:firstLine="709"/>
        <w:jc w:val="center"/>
        <w:rPr>
          <w:rFonts w:ascii="Times New Roman" w:hAnsi="Times New Roman"/>
          <w:sz w:val="28"/>
          <w:szCs w:val="24"/>
        </w:rPr>
      </w:pPr>
      <w:r w:rsidRPr="00377C39">
        <w:rPr>
          <w:rFonts w:ascii="Times New Roman" w:hAnsi="Times New Roman"/>
          <w:sz w:val="28"/>
          <w:szCs w:val="24"/>
        </w:rPr>
        <w:t>2011</w:t>
      </w:r>
    </w:p>
    <w:p w:rsidR="00377C39" w:rsidRDefault="00377C39">
      <w:pPr>
        <w:rPr>
          <w:rFonts w:ascii="Times New Roman" w:hAnsi="Times New Roman"/>
          <w:sz w:val="28"/>
          <w:szCs w:val="32"/>
        </w:rPr>
      </w:pPr>
      <w:r>
        <w:rPr>
          <w:rFonts w:ascii="Times New Roman" w:hAnsi="Times New Roman"/>
          <w:sz w:val="28"/>
          <w:szCs w:val="32"/>
        </w:rPr>
        <w:br w:type="page"/>
      </w:r>
    </w:p>
    <w:p w:rsidR="0061638A" w:rsidRPr="00377C39" w:rsidRDefault="0061638A" w:rsidP="00377C39">
      <w:pPr>
        <w:pStyle w:val="a5"/>
        <w:widowControl w:val="0"/>
        <w:spacing w:after="0" w:line="360" w:lineRule="auto"/>
        <w:ind w:left="0" w:firstLine="709"/>
        <w:jc w:val="both"/>
        <w:rPr>
          <w:rFonts w:ascii="Times New Roman" w:hAnsi="Times New Roman"/>
          <w:sz w:val="28"/>
          <w:szCs w:val="32"/>
        </w:rPr>
      </w:pPr>
      <w:r w:rsidRPr="00377C39">
        <w:rPr>
          <w:rFonts w:ascii="Times New Roman" w:hAnsi="Times New Roman"/>
          <w:sz w:val="28"/>
          <w:szCs w:val="32"/>
        </w:rPr>
        <w:t>План</w:t>
      </w:r>
    </w:p>
    <w:p w:rsidR="0061638A" w:rsidRPr="00377C39" w:rsidRDefault="0061638A" w:rsidP="00377C39">
      <w:pPr>
        <w:pStyle w:val="a5"/>
        <w:widowControl w:val="0"/>
        <w:spacing w:after="0" w:line="360" w:lineRule="auto"/>
        <w:ind w:left="0" w:firstLine="709"/>
        <w:jc w:val="both"/>
        <w:rPr>
          <w:rFonts w:ascii="Times New Roman" w:hAnsi="Times New Roman"/>
          <w:sz w:val="28"/>
          <w:szCs w:val="32"/>
        </w:rPr>
      </w:pPr>
    </w:p>
    <w:p w:rsidR="00462F9D" w:rsidRPr="00377C39" w:rsidRDefault="00462F9D"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 xml:space="preserve">Анализ внешней торговли </w:t>
      </w:r>
      <w:r w:rsidR="000A424D" w:rsidRPr="00377C39">
        <w:rPr>
          <w:rFonts w:ascii="Times New Roman" w:hAnsi="Times New Roman"/>
          <w:sz w:val="28"/>
          <w:szCs w:val="28"/>
        </w:rPr>
        <w:t>России</w:t>
      </w:r>
    </w:p>
    <w:p w:rsidR="00462F9D" w:rsidRPr="00377C39" w:rsidRDefault="00462F9D" w:rsidP="00377C39">
      <w:pPr>
        <w:pStyle w:val="a5"/>
        <w:widowControl w:val="0"/>
        <w:numPr>
          <w:ilvl w:val="0"/>
          <w:numId w:val="2"/>
        </w:numPr>
        <w:spacing w:after="0" w:line="360" w:lineRule="auto"/>
        <w:ind w:left="0" w:firstLine="0"/>
        <w:rPr>
          <w:rFonts w:ascii="Times New Roman" w:hAnsi="Times New Roman"/>
          <w:sz w:val="28"/>
          <w:szCs w:val="28"/>
        </w:rPr>
      </w:pPr>
      <w:r w:rsidRPr="00377C39">
        <w:rPr>
          <w:rFonts w:ascii="Times New Roman" w:hAnsi="Times New Roman"/>
          <w:sz w:val="28"/>
          <w:szCs w:val="28"/>
        </w:rPr>
        <w:t>Товарная структура</w:t>
      </w:r>
      <w:r w:rsidR="00377C39">
        <w:rPr>
          <w:rFonts w:ascii="Times New Roman" w:hAnsi="Times New Roman"/>
          <w:sz w:val="28"/>
          <w:szCs w:val="28"/>
        </w:rPr>
        <w:t xml:space="preserve"> </w:t>
      </w:r>
      <w:r w:rsidRPr="00377C39">
        <w:rPr>
          <w:rFonts w:ascii="Times New Roman" w:hAnsi="Times New Roman"/>
          <w:sz w:val="28"/>
          <w:szCs w:val="28"/>
        </w:rPr>
        <w:t>экспорта и импорта</w:t>
      </w:r>
    </w:p>
    <w:p w:rsidR="00462F9D" w:rsidRPr="00377C39" w:rsidRDefault="00462F9D"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Торговая политика, конкретные проявления</w:t>
      </w:r>
    </w:p>
    <w:p w:rsidR="00462F9D" w:rsidRPr="00377C39" w:rsidRDefault="00462F9D"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Валюта страны, платежный баланс страны</w:t>
      </w:r>
    </w:p>
    <w:p w:rsidR="00462F9D" w:rsidRPr="00377C39" w:rsidRDefault="00A31041"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Иностранные</w:t>
      </w:r>
      <w:r w:rsidR="00462F9D" w:rsidRPr="00377C39">
        <w:rPr>
          <w:rFonts w:ascii="Times New Roman" w:hAnsi="Times New Roman"/>
          <w:sz w:val="28"/>
          <w:szCs w:val="28"/>
        </w:rPr>
        <w:t xml:space="preserve"> инвестиции (приток и отток по странам и отраслям)</w:t>
      </w:r>
    </w:p>
    <w:p w:rsidR="00462F9D" w:rsidRPr="00377C39" w:rsidRDefault="00462F9D"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Международная миграция населения (статистика).</w:t>
      </w:r>
    </w:p>
    <w:p w:rsidR="00462F9D" w:rsidRPr="00377C39" w:rsidRDefault="00462F9D" w:rsidP="00377C39">
      <w:pPr>
        <w:pStyle w:val="a5"/>
        <w:widowControl w:val="0"/>
        <w:numPr>
          <w:ilvl w:val="0"/>
          <w:numId w:val="1"/>
        </w:numPr>
        <w:spacing w:after="0" w:line="360" w:lineRule="auto"/>
        <w:ind w:left="0" w:firstLine="0"/>
        <w:rPr>
          <w:rFonts w:ascii="Times New Roman" w:hAnsi="Times New Roman"/>
          <w:sz w:val="28"/>
          <w:szCs w:val="28"/>
        </w:rPr>
      </w:pPr>
      <w:r w:rsidRPr="00377C39">
        <w:rPr>
          <w:rFonts w:ascii="Times New Roman" w:hAnsi="Times New Roman"/>
          <w:sz w:val="28"/>
          <w:szCs w:val="28"/>
        </w:rPr>
        <w:t>Международная торговля технологиями</w:t>
      </w:r>
    </w:p>
    <w:p w:rsidR="00252ACE" w:rsidRPr="00377C39" w:rsidRDefault="00252ACE" w:rsidP="00377C39">
      <w:pPr>
        <w:pStyle w:val="a5"/>
        <w:widowControl w:val="0"/>
        <w:spacing w:after="0" w:line="360" w:lineRule="auto"/>
        <w:ind w:left="0" w:firstLine="709"/>
        <w:jc w:val="both"/>
        <w:rPr>
          <w:rFonts w:ascii="Times New Roman" w:hAnsi="Times New Roman"/>
          <w:sz w:val="28"/>
          <w:szCs w:val="28"/>
        </w:rPr>
      </w:pPr>
    </w:p>
    <w:p w:rsidR="00377C39" w:rsidRDefault="00377C39">
      <w:pPr>
        <w:rPr>
          <w:rFonts w:ascii="Times New Roman" w:hAnsi="Times New Roman"/>
          <w:sz w:val="28"/>
          <w:szCs w:val="32"/>
        </w:rPr>
      </w:pPr>
      <w:r>
        <w:rPr>
          <w:rFonts w:ascii="Times New Roman" w:hAnsi="Times New Roman"/>
          <w:sz w:val="28"/>
          <w:szCs w:val="32"/>
        </w:rPr>
        <w:br w:type="page"/>
      </w:r>
    </w:p>
    <w:p w:rsidR="00462F9D" w:rsidRPr="00377C39" w:rsidRDefault="00462F9D"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 xml:space="preserve">Анализ внешней торговли </w:t>
      </w:r>
      <w:r w:rsidR="001D3A76" w:rsidRPr="00377C39">
        <w:rPr>
          <w:rFonts w:ascii="Times New Roman" w:hAnsi="Times New Roman"/>
          <w:sz w:val="28"/>
          <w:szCs w:val="32"/>
        </w:rPr>
        <w:t>России</w:t>
      </w:r>
    </w:p>
    <w:p w:rsidR="00377C39" w:rsidRDefault="00377C39" w:rsidP="00377C39">
      <w:pPr>
        <w:widowControl w:val="0"/>
        <w:spacing w:after="0" w:line="360" w:lineRule="auto"/>
        <w:ind w:firstLine="709"/>
        <w:jc w:val="both"/>
        <w:rPr>
          <w:rFonts w:ascii="Times New Roman" w:hAnsi="Times New Roman"/>
          <w:sz w:val="28"/>
          <w:szCs w:val="28"/>
        </w:rPr>
      </w:pPr>
    </w:p>
    <w:p w:rsidR="001F7B44" w:rsidRPr="00377C39" w:rsidRDefault="00317E79"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На сегодня д</w:t>
      </w:r>
      <w:r w:rsidR="001F7B44" w:rsidRPr="00377C39">
        <w:rPr>
          <w:rFonts w:ascii="Times New Roman" w:hAnsi="Times New Roman"/>
          <w:sz w:val="28"/>
          <w:szCs w:val="28"/>
        </w:rPr>
        <w:t>оля России в мировой торговле составляет 2,26%. С начала 2000-х годов России удалось удвоить свой вес в торговле в мире — он вырос почти на 94%, в основном, благодаря экспорту нефтепродуктов, нефти и газа. Об этом говорится в новом исследовании банка HSBC «Карта мировых торговых связей».</w:t>
      </w:r>
    </w:p>
    <w:p w:rsidR="001F7B44" w:rsidRPr="00377C39" w:rsidRDefault="001F7B4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При этом все больший упор в своих торговых отношениях Россия делает на развивающиеся страны. Так, если за первый квартал 2010 года торговый оборот России сократился на 0,47%, то товарооборот со странами Ближнего Востока и Северной Африки вырос за это же время на 22,56%. С Северной Африкой объем торговли прибавил 108%.</w:t>
      </w:r>
    </w:p>
    <w:p w:rsidR="001F7B44" w:rsidRDefault="001F7B4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«Максимальный рост российского экспорта за январь-апрель 2010 года был зафиксирован в таких странах, как Саудовская Аравия (478%), Алжир (408,86%) и Уганда (331,49%). Столь значительное увеличение экспорта в Алжир, Уганду, Саудовскую Аравию, а также Канаду означает, что спрос на нефтепродукты России возникает в самых разных точках мира», — полагают экономисты из HSBC.</w:t>
      </w:r>
    </w:p>
    <w:p w:rsidR="00377C39" w:rsidRDefault="00377C39">
      <w:pPr>
        <w:rPr>
          <w:rFonts w:ascii="Times New Roman" w:hAnsi="Times New Roman"/>
          <w:sz w:val="28"/>
          <w:szCs w:val="28"/>
        </w:rPr>
      </w:pPr>
      <w:r>
        <w:rPr>
          <w:rFonts w:ascii="Times New Roman" w:hAnsi="Times New Roman"/>
          <w:sz w:val="28"/>
          <w:szCs w:val="28"/>
        </w:rPr>
        <w:br w:type="page"/>
      </w:r>
    </w:p>
    <w:p w:rsidR="00377C39" w:rsidRDefault="003075EC" w:rsidP="00377C3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C:\Documents and Settings\User5\Рабочий стол\Новая папка\Тов структура эксп и имп.JPG" style="width:266.25pt;height:359.25pt;visibility:visible">
            <v:imagedata r:id="rId7" o:title="Тов структура эксп и имп"/>
          </v:shape>
        </w:pict>
      </w:r>
    </w:p>
    <w:p w:rsidR="00377C39" w:rsidRDefault="00377C39" w:rsidP="00377C39">
      <w:pPr>
        <w:widowControl w:val="0"/>
        <w:spacing w:after="0" w:line="360" w:lineRule="auto"/>
        <w:ind w:firstLine="709"/>
        <w:jc w:val="both"/>
        <w:rPr>
          <w:rFonts w:ascii="Times New Roman" w:hAnsi="Times New Roman"/>
          <w:sz w:val="28"/>
          <w:szCs w:val="28"/>
        </w:rPr>
      </w:pPr>
    </w:p>
    <w:p w:rsidR="001F7B44" w:rsidRPr="00377C39" w:rsidRDefault="001F7B4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Главный товар России на мировом рынке — по-прежнему продукция нефтяной и деревообрабатывающей промышленности, где главными российскими соперниками являются ЕС, Сингапур, США, Южная Корея, Объединенные Арабские Эмираты, Нигерия, Норвегия и Канада. Появились и новые отрасли, где нарастает ко</w:t>
      </w:r>
      <w:r w:rsidR="00317E79" w:rsidRPr="00377C39">
        <w:rPr>
          <w:rFonts w:ascii="Times New Roman" w:hAnsi="Times New Roman"/>
          <w:sz w:val="28"/>
          <w:szCs w:val="28"/>
        </w:rPr>
        <w:t xml:space="preserve">нкуренция, — это добыча никеля, </w:t>
      </w:r>
      <w:r w:rsidRPr="00377C39">
        <w:rPr>
          <w:rFonts w:ascii="Times New Roman" w:hAnsi="Times New Roman"/>
          <w:sz w:val="28"/>
          <w:szCs w:val="28"/>
        </w:rPr>
        <w:t>производство никелевых продуктов, удобрений и минерального топлива. Максимальные темпы роста товарооборота с Россией в 2000—2009 годы показали Южная Корея (+463,43%), Казахстан (+291,01%) и Турция (+231,38%).</w:t>
      </w:r>
    </w:p>
    <w:p w:rsidR="001F7B44" w:rsidRPr="00377C39" w:rsidRDefault="001F7B4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Помимо нефтяной отрасли, большое значение для развития торговли в России имеет деревообрабатывающая промышленность. Ведущими конкурентами страны по объему торговли нефтью и нефтепродуктами выступают ЕС, Сингапур, США, Южная Корея, Объединённые Арабские Эмираты, Нигерия, Норвегия и Канада. Рост конкуренции отмечается также в добыче никеля, производстве никелевой продукции, удобрений и минерального топлива.</w:t>
      </w:r>
    </w:p>
    <w:p w:rsidR="00673A14" w:rsidRPr="00377C39" w:rsidRDefault="001F7B4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 HSBC прогнозируют, что Россия будет постепенно снижать свою зависимость от экспорта сырья, а также укреплять свою роль торгового посредника между Западом и Востоком, улучшать свою инвестиционную привлекательность и создавать инновационное производство, что в итоге поможет Москве интегрироваться в мировую торговую систему.</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Географическая структура внешней торговли представляет собой систему распределения товарных потоков между отдельными странами, группами стран, формируемыми по территориальному либо по организационному признаку. При рассмотрении географической структуры внешней торговли России необходимо выделить два основных направления: страны СНГ (ближнее зарубежье) и страны Европейского союза.</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Во внешней торговли России по группам стран особое место занимает Европейский союз, на его долю приходилось 50% российского товарооборота. На страны СНГ в I полугодии 2010 года приходилось 14,4% российского товарооборота, на страны ЕврАзЭС - 8,0%, на страны АТЭС - 21,8%.</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Основными торговыми партнерами России в первой половине нынешнего года были: Нидерланды, товарооборот с которыми составил 28,4 млрд долларов США (10,0% в общем товарообороте), Китай - 25,5 млрд долл. (9,0%).</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А также Германия - 22,9 млрд долл. (8,1%), Италия - 17,9 млрд долл. (6,6%), Украина - 15,9 млрд долл. (5,6%), Беларусь - 12,5 млрд долл. (4,4%), Турция - 12,0 млрд долл. (4,2%), Польша - 9,9 млрд долл. (3,5%), США - 9,8 млрд долл. США (3,4%), Франция - 9,7 млрд долл. (3,4%).</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Во внутренней географической структуре внешней торговли России, лидером экспорта и импорта является Центральный федеральный округ.</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Крупнейшими экспортерами в январе-июне 2010 года в Центральном федеральном округе, доля в общем экспорте которого составила 41,4%, являлись: Москва, Липецкая, Московская, Тульская и Белгородская области.</w:t>
      </w:r>
    </w:p>
    <w:p w:rsidR="00673A14" w:rsidRPr="00377C39" w:rsidRDefault="00673A1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Среди импортеров в Центральном федеральном округе, доля в общем импорте товаров которого составила 59,3%, крупнейшими являлись: Москва, Московская, Калужская, Белгородская и Липецкая области.</w:t>
      </w:r>
    </w:p>
    <w:p w:rsidR="00317E79"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По степени открытости экономики</w:t>
      </w:r>
      <w:r w:rsidR="006E09D5" w:rsidRPr="00377C39">
        <w:rPr>
          <w:rFonts w:ascii="Times New Roman" w:hAnsi="Times New Roman"/>
          <w:sz w:val="28"/>
          <w:szCs w:val="28"/>
        </w:rPr>
        <w:t>,</w:t>
      </w:r>
      <w:r w:rsidRPr="00377C39">
        <w:rPr>
          <w:rFonts w:ascii="Times New Roman" w:hAnsi="Times New Roman"/>
          <w:sz w:val="28"/>
          <w:szCs w:val="28"/>
        </w:rPr>
        <w:t xml:space="preserve"> страны можно разделить на следующие группы: </w:t>
      </w:r>
    </w:p>
    <w:p w:rsidR="003319B3" w:rsidRPr="00377C39" w:rsidRDefault="00942226" w:rsidP="00377C39">
      <w:pPr>
        <w:pStyle w:val="a5"/>
        <w:widowControl w:val="0"/>
        <w:numPr>
          <w:ilvl w:val="0"/>
          <w:numId w:val="10"/>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страны с относительно зарытой экономикой (доля экспорта менее 10 % ВВП); </w:t>
      </w:r>
    </w:p>
    <w:p w:rsidR="003319B3" w:rsidRPr="00377C39" w:rsidRDefault="00942226" w:rsidP="00377C39">
      <w:pPr>
        <w:pStyle w:val="a5"/>
        <w:widowControl w:val="0"/>
        <w:numPr>
          <w:ilvl w:val="0"/>
          <w:numId w:val="10"/>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страны с относительно открытой экономикой (доля экспорта более 35 % ВВП); </w:t>
      </w:r>
    </w:p>
    <w:p w:rsidR="003319B3" w:rsidRPr="00377C39" w:rsidRDefault="00942226" w:rsidP="00377C39">
      <w:pPr>
        <w:pStyle w:val="a5"/>
        <w:widowControl w:val="0"/>
        <w:numPr>
          <w:ilvl w:val="0"/>
          <w:numId w:val="10"/>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страны, располагающиеся между первыми двумя. </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Исходя из этого критерия, странами с наиболее открытой экономикой являются Гонконг, Сингапур, Новая Зеландия, Швейцария, с наименее открытой — Северная Корея, Куба.</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Однако доля экспорта в ВВП — это не единственный индикатор открытости экономической системы. В качестве показателей, используемых для измерения степени открытости экономики, чаще всего применяются:</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1. Показатели, характеризующие активность страны в мировой торговле:</w:t>
      </w:r>
    </w:p>
    <w:p w:rsidR="00942226"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коэффициент внутриотраслевой международной специализации:</w:t>
      </w:r>
    </w:p>
    <w:p w:rsidR="00377C39" w:rsidRP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3075EC" w:rsidP="00377C3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6" type="#_x0000_t75" alt="Описание: C:\Documents and Settings\User5\Рабочий стол\Новая папка\159.jpg" style="width:252.75pt;height:51.75pt;visibility:visible">
            <v:imagedata r:id="rId8" o:title="159"/>
          </v:shape>
        </w:pict>
      </w:r>
    </w:p>
    <w:p w:rsid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Показатель колеблется от -100 до +100 (в первом случае страна является исключительно импортирующей тот или иной товар, во втором — исключительно экспортирующей тот или иной товар). Показатели, располагающиеся между крайними точками, характеризуют степень вовлечения страны во внутриотраслевую международную специализацию;</w:t>
      </w:r>
    </w:p>
    <w:p w:rsidR="00673A14"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экспортная квота — показатель, характеризующий значимость экспорта для экономики в целом и отдельных отраслей по тем или иным видам продукции:</w:t>
      </w:r>
    </w:p>
    <w:p w:rsidR="00377C39" w:rsidRP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3075EC" w:rsidP="00377C3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7" type="#_x0000_t75" alt="Описание: C:\Documents and Settings\User5\Рабочий стол\Новая папка\160.jpg" style="width:254.25pt;height:47.25pt;visibility:visible">
            <v:imagedata r:id="rId9" o:title="160"/>
          </v:shape>
        </w:pict>
      </w:r>
    </w:p>
    <w:p w:rsid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Увеличение экспортной квоты свидетельствует как о возрастающем участии страны в международном разделении труда, так и о росте конкурентоспособности производимой ею продукции;</w:t>
      </w:r>
    </w:p>
    <w:p w:rsidR="00942226"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импортная квота характеризует значимость импорта для народного хозяйства и отдельных отраслей по различным видам продукции:</w:t>
      </w:r>
    </w:p>
    <w:p w:rsidR="00377C39" w:rsidRP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3075EC" w:rsidP="00377C3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8" type="#_x0000_t75" alt="Описание: C:\Documents and Settings\User5\Рабочий стол\Новая папка\161.jpg" style="width:245.25pt;height:54pt;visibility:visible">
            <v:imagedata r:id="rId10" o:title="161"/>
          </v:shape>
        </w:pict>
      </w:r>
    </w:p>
    <w:p w:rsidR="00377C39" w:rsidRDefault="00377C39" w:rsidP="00377C39">
      <w:pPr>
        <w:widowControl w:val="0"/>
        <w:spacing w:after="0" w:line="360" w:lineRule="auto"/>
        <w:ind w:firstLine="709"/>
        <w:jc w:val="both"/>
        <w:rPr>
          <w:rFonts w:ascii="Times New Roman" w:hAnsi="Times New Roman"/>
          <w:sz w:val="28"/>
          <w:szCs w:val="28"/>
        </w:rPr>
      </w:pPr>
    </w:p>
    <w:p w:rsidR="00942226"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внешнеторговая квота определяется как соотношение совокупной стоимости экспорта и импорта, деленной пополам, к стоимости ВВП в процентах:</w:t>
      </w:r>
    </w:p>
    <w:p w:rsidR="00377C39" w:rsidRP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3075EC" w:rsidP="00377C39">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29" type="#_x0000_t75" alt="Описание: C:\Documents and Settings\User5\Рабочий стол\Новая папка\162.jpg" style="width:252pt;height:43.5pt;visibility:visible">
            <v:imagedata r:id="rId11" o:title="162"/>
          </v:shape>
        </w:pict>
      </w:r>
    </w:p>
    <w:p w:rsidR="00377C39" w:rsidRDefault="00377C39" w:rsidP="00377C39">
      <w:pPr>
        <w:widowControl w:val="0"/>
        <w:spacing w:after="0" w:line="360" w:lineRule="auto"/>
        <w:ind w:firstLine="709"/>
        <w:jc w:val="both"/>
        <w:rPr>
          <w:rFonts w:ascii="Times New Roman" w:hAnsi="Times New Roman"/>
          <w:sz w:val="28"/>
          <w:szCs w:val="28"/>
        </w:rPr>
      </w:pP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структура экспорта, т. е. соотношение или удельные веса экспортируемых товаров по видам и степени их переработки. Так, высокий удельный вес продукции обрабатывающих отраслей в экспорте страны, как правило, свидетельствует о высоком научно-техническом и производственном уровне отраслей, продукция которых идет на экспорт;</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структура импорта, особенно соотношение объемов ввозимых в страну сырья и готовой конечной продукции. Этот показатель наиболее ясно характеризует зависимость экономики страны от внешнего рынка и уровень развития отраслей национальной экономики;</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сравнительное соотношение доли страны в мировом производстве ВВП (ВНП) и ее доли в мировой торговле: чем выше значения их показателей, тем значительнее вовлечена страна в международные экономические отношения.</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2. Показатели вывоза капитала (международного движения капиталов):</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объем зарубежных инвестиций (активов) данной страны и его соотношение с национальным богатством страны. Как правило, страна с высоким уровнем открытости экономики имеет большие возможности вложения капитала в экономику других стран;</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соотношение объема прямых зарубежных инвестиций данной страны за рубежом с объемом прямых иностранных инвестиций на ее территории. Это соотношение характеризует развитие международных интеграционных процессов и тесно связано с эффективностью функционирования и уровнем открытости национальной экономики стран — субъектов инвестирования капитала;</w:t>
      </w:r>
    </w:p>
    <w:p w:rsidR="00942226" w:rsidRPr="00377C39" w:rsidRDefault="00942226"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объем внешнего долга страны и его соотношение с ВВП (ВНП) данной страны.</w:t>
      </w:r>
    </w:p>
    <w:p w:rsidR="00942226"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Рост большинства показателей, характеризующих участие страны в международной торговле, отражает растущую активность России на мировом рынке, увеличение доли страны в мировой торговле и в мировом ВВП свидетельствуют о возрастающем участии страны во всех формах международных экономических отношений, о повышении степени открытости ее экономики.</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 xml:space="preserve">Индексы экспорта и импорта </w:t>
      </w:r>
      <w:r w:rsidR="0031215B" w:rsidRPr="00377C39">
        <w:rPr>
          <w:rFonts w:ascii="Times New Roman" w:hAnsi="Times New Roman"/>
          <w:sz w:val="28"/>
          <w:szCs w:val="28"/>
        </w:rPr>
        <w:t>(</w:t>
      </w:r>
      <w:r w:rsidRPr="00377C39">
        <w:rPr>
          <w:rFonts w:ascii="Times New Roman" w:hAnsi="Times New Roman"/>
          <w:sz w:val="28"/>
          <w:szCs w:val="28"/>
        </w:rPr>
        <w:t>а</w:t>
      </w:r>
      <w:r w:rsidR="0031215B" w:rsidRPr="00377C39">
        <w:rPr>
          <w:rFonts w:ascii="Times New Roman" w:hAnsi="Times New Roman"/>
          <w:sz w:val="28"/>
          <w:szCs w:val="28"/>
        </w:rPr>
        <w:t xml:space="preserve">вгуст </w:t>
      </w:r>
      <w:r w:rsidRPr="00377C39">
        <w:rPr>
          <w:rFonts w:ascii="Times New Roman" w:hAnsi="Times New Roman"/>
          <w:sz w:val="28"/>
          <w:szCs w:val="28"/>
        </w:rPr>
        <w:t>2010 г. к январю 1995 г.</w:t>
      </w:r>
      <w:r w:rsidR="0031215B" w:rsidRPr="00377C39">
        <w:rPr>
          <w:rFonts w:ascii="Times New Roman" w:hAnsi="Times New Roman"/>
          <w:sz w:val="28"/>
          <w:szCs w:val="28"/>
        </w:rPr>
        <w:t>)</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За весь период наблюдения (с января 1995 года по август 2010 года) экспорт товаров в стоимостном измерении увеличился в 4,3 раза (таблица 9 и приложение 3). Наиболее весомый вклад в прирост экспорта внесли экспорт сырой нефти (45,1% от общего прироста) и нефтепродуктов (38,3%).</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Наиболее высокие темпы роста характерны для:</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нефтепродуктов — в 17,7 раза (за счет роста физических объемов поставок — в 4,5 раз; за счет увеличения контрактных экспортных цен — в 4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каменного угля — в 10 раз (за счет увеличения физических объемов поставок — в 3,2 раза; за счет роста контрактных экспортных цен — в 3,1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сырой нефти — в 9,6 раз (за счет увеличения физических объемов поставок — в 2,2 раза; за счет роста контрактных экспортных цен — в 4,4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минеральных удобрений — в 5,9 раза (за счет увеличения физических объемов — в 2,3 раза; за счет роста контрактных цен — в 2,5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обработанных лесоматериалов — в 4,3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машин, оборудования и транспортных средств — в 3,1 раза,</w:t>
      </w:r>
    </w:p>
    <w:p w:rsidR="00527754" w:rsidRPr="00377C39" w:rsidRDefault="00527754" w:rsidP="00377C39">
      <w:pPr>
        <w:pStyle w:val="a5"/>
        <w:widowControl w:val="0"/>
        <w:numPr>
          <w:ilvl w:val="0"/>
          <w:numId w:val="5"/>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природного газа — в 3 раза (за счет увеличения контрактных экспортных цен — в 4,3 раза при сокращении физических объемов поставок — на 30,9%).</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Экспорт пшеницы с января 1997 года по август 2010 года возрос в 49,8 раза в подавляющей степени за счет роста физических объемов экспорта.</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За весь период наблюдения (с января 1995 года по август 2010 года) импорт товаров в стоимостном измерении увеличился в 6 раз.</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Наиболее весомый вклад в это увеличение внесли приросты закупок машин, оборудования и транспортных средств за исключением легковых автомобилей (30,8%), прочего импорта (24,9%), медикаментов (23%), легковых автомобилей (17,6%).</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Наиболее высокие темпы роста характерны для:</w:t>
      </w:r>
    </w:p>
    <w:p w:rsidR="00527754" w:rsidRPr="00377C39" w:rsidRDefault="00527754" w:rsidP="00377C39">
      <w:pPr>
        <w:pStyle w:val="a5"/>
        <w:widowControl w:val="0"/>
        <w:numPr>
          <w:ilvl w:val="0"/>
          <w:numId w:val="6"/>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легковых автомобилей — в 25,1 раза (за счет роста физических объемов ввоза — в 5,7 раз; контрактных импортных цен — в 4,4 раза),</w:t>
      </w:r>
    </w:p>
    <w:p w:rsidR="00527754" w:rsidRPr="00377C39" w:rsidRDefault="00527754" w:rsidP="00377C39">
      <w:pPr>
        <w:pStyle w:val="a5"/>
        <w:widowControl w:val="0"/>
        <w:numPr>
          <w:ilvl w:val="0"/>
          <w:numId w:val="6"/>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медикаментов — в 21,2 раза,</w:t>
      </w:r>
    </w:p>
    <w:p w:rsidR="00527754" w:rsidRPr="00377C39" w:rsidRDefault="00527754" w:rsidP="00377C39">
      <w:pPr>
        <w:pStyle w:val="a5"/>
        <w:widowControl w:val="0"/>
        <w:numPr>
          <w:ilvl w:val="0"/>
          <w:numId w:val="6"/>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полуфабрикатов и проката из железа и нелегированной стали — в 7,9 раз,</w:t>
      </w:r>
    </w:p>
    <w:p w:rsidR="00527754" w:rsidRPr="00377C39" w:rsidRDefault="00527754" w:rsidP="00377C39">
      <w:pPr>
        <w:pStyle w:val="a5"/>
        <w:widowControl w:val="0"/>
        <w:numPr>
          <w:ilvl w:val="0"/>
          <w:numId w:val="6"/>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машин, оборудования и транспортных средств (без легковых автомобилей) — в 6,4 раза,</w:t>
      </w:r>
    </w:p>
    <w:p w:rsidR="00527754" w:rsidRPr="00377C39" w:rsidRDefault="00527754" w:rsidP="00377C39">
      <w:pPr>
        <w:pStyle w:val="a5"/>
        <w:widowControl w:val="0"/>
        <w:numPr>
          <w:ilvl w:val="0"/>
          <w:numId w:val="6"/>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напитков — в 5 раз.</w:t>
      </w:r>
    </w:p>
    <w:p w:rsidR="00527754" w:rsidRPr="00377C39"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 августе 2010 года по сравнению с январем 1995 года на 42,5% сократился физический объем импорта свежемороженого мяса птицы, на 58,2% — сахара-сырца.</w:t>
      </w:r>
    </w:p>
    <w:p w:rsidR="00527754" w:rsidRDefault="00527754"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Уровень сезонно скорректированного положительного сальдо торгового баланса в августе 2010 года в 2,4 раза превысил уровень января 1995 года.</w:t>
      </w:r>
    </w:p>
    <w:p w:rsidR="00377C39" w:rsidRPr="00377C39" w:rsidRDefault="00377C39" w:rsidP="00377C39">
      <w:pPr>
        <w:widowControl w:val="0"/>
        <w:spacing w:after="0" w:line="360" w:lineRule="auto"/>
        <w:ind w:firstLine="709"/>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035"/>
        <w:gridCol w:w="1220"/>
        <w:gridCol w:w="1371"/>
        <w:gridCol w:w="1208"/>
        <w:gridCol w:w="1209"/>
        <w:gridCol w:w="1062"/>
      </w:tblGrid>
      <w:tr w:rsidR="00915B14" w:rsidRPr="00F825FC" w:rsidTr="00F825FC">
        <w:trPr>
          <w:trHeight w:val="269"/>
        </w:trPr>
        <w:tc>
          <w:tcPr>
            <w:tcW w:w="2251" w:type="dxa"/>
            <w:vMerge w:val="restart"/>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p>
        </w:tc>
        <w:tc>
          <w:tcPr>
            <w:tcW w:w="3626" w:type="dxa"/>
            <w:gridSpan w:val="3"/>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 xml:space="preserve">Экспорт </w:t>
            </w:r>
          </w:p>
        </w:tc>
        <w:tc>
          <w:tcPr>
            <w:tcW w:w="3479" w:type="dxa"/>
            <w:gridSpan w:val="3"/>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Импорт</w:t>
            </w:r>
          </w:p>
        </w:tc>
      </w:tr>
      <w:tr w:rsidR="00915B14" w:rsidRPr="00F825FC" w:rsidTr="00F825FC">
        <w:trPr>
          <w:trHeight w:val="150"/>
        </w:trPr>
        <w:tc>
          <w:tcPr>
            <w:tcW w:w="2251" w:type="dxa"/>
            <w:vMerge/>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p>
        </w:tc>
        <w:tc>
          <w:tcPr>
            <w:tcW w:w="1035" w:type="dxa"/>
            <w:vMerge w:val="restart"/>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Всего</w:t>
            </w:r>
          </w:p>
        </w:tc>
        <w:tc>
          <w:tcPr>
            <w:tcW w:w="2591" w:type="dxa"/>
            <w:gridSpan w:val="2"/>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В том числе</w:t>
            </w:r>
          </w:p>
        </w:tc>
        <w:tc>
          <w:tcPr>
            <w:tcW w:w="1208" w:type="dxa"/>
            <w:vMerge w:val="restart"/>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Всего</w:t>
            </w:r>
          </w:p>
        </w:tc>
        <w:tc>
          <w:tcPr>
            <w:tcW w:w="2271" w:type="dxa"/>
            <w:gridSpan w:val="2"/>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В том числе</w:t>
            </w:r>
          </w:p>
        </w:tc>
      </w:tr>
      <w:tr w:rsidR="00915B14" w:rsidRPr="00F825FC" w:rsidTr="00F825FC">
        <w:trPr>
          <w:trHeight w:val="150"/>
        </w:trPr>
        <w:tc>
          <w:tcPr>
            <w:tcW w:w="2251" w:type="dxa"/>
            <w:vMerge/>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p>
        </w:tc>
        <w:tc>
          <w:tcPr>
            <w:tcW w:w="1035" w:type="dxa"/>
            <w:vMerge/>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p>
        </w:tc>
        <w:tc>
          <w:tcPr>
            <w:tcW w:w="1220"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Страны дальнего зарубежья</w:t>
            </w:r>
          </w:p>
        </w:tc>
        <w:tc>
          <w:tcPr>
            <w:tcW w:w="1371"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Государства-участники СНГ</w:t>
            </w:r>
          </w:p>
        </w:tc>
        <w:tc>
          <w:tcPr>
            <w:tcW w:w="1208" w:type="dxa"/>
            <w:vMerge/>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p>
        </w:tc>
        <w:tc>
          <w:tcPr>
            <w:tcW w:w="1209"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Страны дальнего зарубежья</w:t>
            </w:r>
          </w:p>
        </w:tc>
        <w:tc>
          <w:tcPr>
            <w:tcW w:w="1062"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Государства-участники СНГ</w:t>
            </w:r>
          </w:p>
        </w:tc>
      </w:tr>
      <w:tr w:rsidR="00915B14" w:rsidRPr="00F825FC" w:rsidTr="00F825FC">
        <w:trPr>
          <w:trHeight w:val="284"/>
        </w:trPr>
        <w:tc>
          <w:tcPr>
            <w:tcW w:w="2251"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Индексы средних цен</w:t>
            </w:r>
          </w:p>
        </w:tc>
        <w:tc>
          <w:tcPr>
            <w:tcW w:w="1035"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116,9</w:t>
            </w:r>
          </w:p>
        </w:tc>
        <w:tc>
          <w:tcPr>
            <w:tcW w:w="1220"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116,4</w:t>
            </w:r>
          </w:p>
        </w:tc>
        <w:tc>
          <w:tcPr>
            <w:tcW w:w="1371"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120,2</w:t>
            </w:r>
          </w:p>
        </w:tc>
        <w:tc>
          <w:tcPr>
            <w:tcW w:w="1208"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101,2</w:t>
            </w:r>
          </w:p>
        </w:tc>
        <w:tc>
          <w:tcPr>
            <w:tcW w:w="1209"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110,2</w:t>
            </w:r>
          </w:p>
        </w:tc>
        <w:tc>
          <w:tcPr>
            <w:tcW w:w="1062"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107,6</w:t>
            </w:r>
          </w:p>
        </w:tc>
      </w:tr>
      <w:tr w:rsidR="00915B14" w:rsidRPr="00F825FC" w:rsidTr="00F825FC">
        <w:trPr>
          <w:trHeight w:val="567"/>
        </w:trPr>
        <w:tc>
          <w:tcPr>
            <w:tcW w:w="2251"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Индексы фактического объема</w:t>
            </w:r>
          </w:p>
        </w:tc>
        <w:tc>
          <w:tcPr>
            <w:tcW w:w="1035"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110,2</w:t>
            </w:r>
          </w:p>
        </w:tc>
        <w:tc>
          <w:tcPr>
            <w:tcW w:w="1220"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113,4</w:t>
            </w:r>
          </w:p>
        </w:tc>
        <w:tc>
          <w:tcPr>
            <w:tcW w:w="1371"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93,3</w:t>
            </w:r>
          </w:p>
        </w:tc>
        <w:tc>
          <w:tcPr>
            <w:tcW w:w="1208"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130,8</w:t>
            </w:r>
          </w:p>
        </w:tc>
        <w:tc>
          <w:tcPr>
            <w:tcW w:w="1209"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130,6</w:t>
            </w:r>
          </w:p>
        </w:tc>
        <w:tc>
          <w:tcPr>
            <w:tcW w:w="1062" w:type="dxa"/>
            <w:shd w:val="clear" w:color="auto" w:fill="auto"/>
          </w:tcPr>
          <w:p w:rsidR="00915B14" w:rsidRPr="00F825FC" w:rsidRDefault="00915B14" w:rsidP="00F825FC">
            <w:pPr>
              <w:widowControl w:val="0"/>
              <w:spacing w:after="0" w:line="360" w:lineRule="auto"/>
              <w:jc w:val="both"/>
              <w:rPr>
                <w:rFonts w:ascii="Times New Roman" w:hAnsi="Times New Roman"/>
                <w:sz w:val="20"/>
                <w:szCs w:val="20"/>
              </w:rPr>
            </w:pPr>
            <w:r w:rsidRPr="00F825FC">
              <w:rPr>
                <w:rFonts w:ascii="Times New Roman" w:hAnsi="Times New Roman"/>
                <w:sz w:val="20"/>
                <w:szCs w:val="20"/>
              </w:rPr>
              <w:t>132,2</w:t>
            </w:r>
          </w:p>
        </w:tc>
      </w:tr>
    </w:tbl>
    <w:p w:rsidR="00915B14" w:rsidRPr="00377C39" w:rsidRDefault="00915B14" w:rsidP="00377C39">
      <w:pPr>
        <w:widowControl w:val="0"/>
        <w:spacing w:after="0" w:line="360" w:lineRule="auto"/>
        <w:ind w:firstLine="709"/>
        <w:jc w:val="both"/>
        <w:rPr>
          <w:rFonts w:ascii="Times New Roman" w:hAnsi="Times New Roman"/>
          <w:sz w:val="28"/>
          <w:szCs w:val="28"/>
        </w:rPr>
      </w:pPr>
    </w:p>
    <w:p w:rsidR="00673A14" w:rsidRDefault="003134CD"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Начиная с середины 80-х гг., и особенно в период радикальных экономических преобразований, в России наметилась тенденция к ухудшению показателя торговли (отношение индекса экспортных цен к индексу импортных цен). Низкий показатель условий торговли свидетельствует о неэффективности внешней торговли, когда цены на экспортируемую продукцию занижаются, а на импортируемую завышаются. Россия не относится к странам, где приоритетным направлением развития экономики является экспортная ориентация и соответственно достаточно велик удельный вес внешней торговли в валовом внутреннем продукте. Тем не менее, внешняя торговля России имеет определенную экспортную направленность, о чем свидетельствует коэффициент экспортно-импортной специализации (отношение стоимостного объема экспорта к импорту). Это результат того, что на протяжении многих лет структура внешней торговли России носит ярко выраженный сырьевой характер. В период радикальных экономических преобразований рост экспорта сырьевых товаров из России стимулировался завышенным курсом доллара и низким уровнем рентной платы за природные ресурсы.</w:t>
      </w:r>
    </w:p>
    <w:p w:rsidR="00377C39" w:rsidRPr="00377C39" w:rsidRDefault="00377C39" w:rsidP="00377C39">
      <w:pPr>
        <w:widowControl w:val="0"/>
        <w:spacing w:after="0" w:line="360" w:lineRule="auto"/>
        <w:ind w:firstLine="709"/>
        <w:jc w:val="both"/>
        <w:rPr>
          <w:rFonts w:ascii="Times New Roman" w:hAnsi="Times New Roman"/>
          <w:sz w:val="28"/>
          <w:szCs w:val="28"/>
        </w:rPr>
      </w:pPr>
    </w:p>
    <w:p w:rsidR="0031215B" w:rsidRPr="00377C39" w:rsidRDefault="0031215B"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Торговая политика, конкретные проявления</w:t>
      </w:r>
    </w:p>
    <w:p w:rsidR="00377C39" w:rsidRDefault="00377C39" w:rsidP="00377C39">
      <w:pPr>
        <w:pStyle w:val="a5"/>
        <w:widowControl w:val="0"/>
        <w:spacing w:after="0" w:line="360" w:lineRule="auto"/>
        <w:ind w:left="0" w:firstLine="709"/>
        <w:jc w:val="both"/>
        <w:rPr>
          <w:rFonts w:ascii="Times New Roman" w:hAnsi="Times New Roman"/>
          <w:sz w:val="28"/>
          <w:szCs w:val="28"/>
        </w:rPr>
      </w:pP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Стратегическим направлением внешнеэкономической политики РФ является дальнейшая интеграция России в мировое экономическое сообщество в целях максимального использования внешнеэкономических связей для реализации долгосрочной структурной перестройки российской экономики. Однако в современной системе мирохозяйственных связей Россия участвует пока в основном за счет расширения торговли товарами, преимущественно сырьем и материалами. Россия слабо вовлечена в международную кооперацию производства, торговлю услугами, международную миграцию капитала в форме прямых инве­стиций, а также в научно-технический и информационный обмен. Экономика России оказалась зависимой от экспорта</w:t>
      </w:r>
      <w:r w:rsidR="00377C39">
        <w:rPr>
          <w:rFonts w:ascii="Times New Roman" w:hAnsi="Times New Roman"/>
          <w:sz w:val="28"/>
          <w:szCs w:val="28"/>
        </w:rPr>
        <w:t xml:space="preserve"> </w:t>
      </w:r>
      <w:r w:rsidRPr="00377C39">
        <w:rPr>
          <w:rFonts w:ascii="Times New Roman" w:hAnsi="Times New Roman"/>
          <w:sz w:val="28"/>
          <w:szCs w:val="28"/>
        </w:rPr>
        <w:t>узкого</w:t>
      </w:r>
      <w:r w:rsidR="00377C39">
        <w:rPr>
          <w:rFonts w:ascii="Times New Roman" w:hAnsi="Times New Roman"/>
          <w:sz w:val="28"/>
          <w:szCs w:val="28"/>
        </w:rPr>
        <w:t xml:space="preserve"> </w:t>
      </w:r>
      <w:r w:rsidRPr="00377C39">
        <w:rPr>
          <w:rFonts w:ascii="Times New Roman" w:hAnsi="Times New Roman"/>
          <w:sz w:val="28"/>
          <w:szCs w:val="28"/>
        </w:rPr>
        <w:t>круга</w:t>
      </w:r>
      <w:r w:rsidR="00377C39">
        <w:rPr>
          <w:rFonts w:ascii="Times New Roman" w:hAnsi="Times New Roman"/>
          <w:sz w:val="28"/>
          <w:szCs w:val="28"/>
        </w:rPr>
        <w:t xml:space="preserve"> </w:t>
      </w:r>
      <w:r w:rsidRPr="00377C39">
        <w:rPr>
          <w:rFonts w:ascii="Times New Roman" w:hAnsi="Times New Roman"/>
          <w:sz w:val="28"/>
          <w:szCs w:val="28"/>
        </w:rPr>
        <w:t>товаров, прежде всего топливно-сырьевой группы, а также от импорта многих</w:t>
      </w:r>
      <w:r w:rsidR="00377C39">
        <w:rPr>
          <w:rFonts w:ascii="Times New Roman" w:hAnsi="Times New Roman"/>
          <w:sz w:val="28"/>
          <w:szCs w:val="28"/>
        </w:rPr>
        <w:t xml:space="preserve"> </w:t>
      </w:r>
      <w:r w:rsidRPr="00377C39">
        <w:rPr>
          <w:rFonts w:ascii="Times New Roman" w:hAnsi="Times New Roman"/>
          <w:sz w:val="28"/>
          <w:szCs w:val="28"/>
        </w:rPr>
        <w:t>потребительских</w:t>
      </w:r>
      <w:r w:rsidR="00377C39">
        <w:rPr>
          <w:rFonts w:ascii="Times New Roman" w:hAnsi="Times New Roman"/>
          <w:sz w:val="28"/>
          <w:szCs w:val="28"/>
        </w:rPr>
        <w:t xml:space="preserve"> </w:t>
      </w:r>
      <w:r w:rsidRPr="00377C39">
        <w:rPr>
          <w:rFonts w:ascii="Times New Roman" w:hAnsi="Times New Roman"/>
          <w:sz w:val="28"/>
          <w:szCs w:val="28"/>
        </w:rPr>
        <w:t>товаров. Степень ее открытости на определенном этапе перестала соответствовать внутренним возможностям страны, масштабам и глуб</w:t>
      </w:r>
      <w:r w:rsidR="00CF3BE3" w:rsidRPr="00377C39">
        <w:rPr>
          <w:rFonts w:ascii="Times New Roman" w:hAnsi="Times New Roman"/>
          <w:sz w:val="28"/>
          <w:szCs w:val="28"/>
        </w:rPr>
        <w:t>ине проблем, стоящих перед ней.</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этой связи для решения задач по стабилизации роста национальной экономики с учетом тенденций развития мировой экономики и торговли, а также обеспечения равноправной интеграции России в мировую экономику необходимо обеспечить реализацию, следующих основных целей:</w:t>
      </w:r>
    </w:p>
    <w:p w:rsidR="00AE2EA2" w:rsidRPr="00377C39" w:rsidRDefault="00AE2EA2" w:rsidP="00377C39">
      <w:pPr>
        <w:pStyle w:val="a5"/>
        <w:widowControl w:val="0"/>
        <w:numPr>
          <w:ilvl w:val="0"/>
          <w:numId w:val="8"/>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повышение конкурентоспособности российской экономики;</w:t>
      </w:r>
    </w:p>
    <w:p w:rsidR="00AE2EA2" w:rsidRPr="00377C39" w:rsidRDefault="00AE2EA2" w:rsidP="00377C39">
      <w:pPr>
        <w:pStyle w:val="a5"/>
        <w:widowControl w:val="0"/>
        <w:numPr>
          <w:ilvl w:val="0"/>
          <w:numId w:val="8"/>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сохранение позиций России на мировых товарных рынках (сырье, материалы, комплектное оборудование, вооружение и военная техника), а также дальнейшее расширение экспорта готовых изделий и услуг;</w:t>
      </w:r>
    </w:p>
    <w:p w:rsidR="00AE2EA2" w:rsidRPr="00377C39" w:rsidRDefault="00AE2EA2" w:rsidP="00377C39">
      <w:pPr>
        <w:pStyle w:val="a5"/>
        <w:widowControl w:val="0"/>
        <w:numPr>
          <w:ilvl w:val="0"/>
          <w:numId w:val="8"/>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обеспечение равноправных условий доступа российских товаров и услуг на мировые рынки при адекватной защите внутреннего рынка от недобросовестной иностранной конкуренции в соответствии со сложившейся практикой международных экономических отношений;</w:t>
      </w:r>
    </w:p>
    <w:p w:rsidR="00AE2EA2" w:rsidRPr="00377C39" w:rsidRDefault="00AE2EA2" w:rsidP="00377C39">
      <w:pPr>
        <w:pStyle w:val="a5"/>
        <w:widowControl w:val="0"/>
        <w:numPr>
          <w:ilvl w:val="0"/>
          <w:numId w:val="8"/>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проведение таможенно-тарифной политики, способствующей созданию благоприятных ус­ловий для расширения национального производства и повышения его</w:t>
      </w:r>
      <w:r w:rsidR="00377C39">
        <w:rPr>
          <w:rFonts w:ascii="Times New Roman" w:hAnsi="Times New Roman"/>
          <w:sz w:val="28"/>
          <w:szCs w:val="28"/>
        </w:rPr>
        <w:t xml:space="preserve"> </w:t>
      </w:r>
      <w:r w:rsidRPr="00377C39">
        <w:rPr>
          <w:rFonts w:ascii="Times New Roman" w:hAnsi="Times New Roman"/>
          <w:sz w:val="28"/>
          <w:szCs w:val="28"/>
        </w:rPr>
        <w:t>конкурентоспособности,</w:t>
      </w:r>
      <w:r w:rsidR="00377C39">
        <w:rPr>
          <w:rFonts w:ascii="Times New Roman" w:hAnsi="Times New Roman"/>
          <w:sz w:val="28"/>
          <w:szCs w:val="28"/>
        </w:rPr>
        <w:t xml:space="preserve"> </w:t>
      </w:r>
      <w:r w:rsidRPr="00377C39">
        <w:rPr>
          <w:rFonts w:ascii="Times New Roman" w:hAnsi="Times New Roman"/>
          <w:sz w:val="28"/>
          <w:szCs w:val="28"/>
        </w:rPr>
        <w:t>не ухудшающей при этом условий конкуренции на внутреннем рын­ке;</w:t>
      </w:r>
    </w:p>
    <w:p w:rsidR="00AE2EA2" w:rsidRPr="00377C39" w:rsidRDefault="00AE2EA2" w:rsidP="00377C39">
      <w:pPr>
        <w:pStyle w:val="a5"/>
        <w:widowControl w:val="0"/>
        <w:numPr>
          <w:ilvl w:val="0"/>
          <w:numId w:val="8"/>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сокращение утечки капитала по каналам внешней торговли путем создания более благоприятных экономических условий в России, а также ужесточения контроля над осуществлением экспортно-импортных операций, включая валютный и таможенный контроль, пресечени</w:t>
      </w:r>
      <w:r w:rsidR="00CF3BE3" w:rsidRPr="00377C39">
        <w:rPr>
          <w:rFonts w:ascii="Times New Roman" w:hAnsi="Times New Roman"/>
          <w:sz w:val="28"/>
          <w:szCs w:val="28"/>
        </w:rPr>
        <w:t>е контрабандного ввоза товаров.</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Присоединение России к Всемирной</w:t>
      </w:r>
      <w:r w:rsidR="00377C39">
        <w:rPr>
          <w:rFonts w:ascii="Times New Roman" w:hAnsi="Times New Roman"/>
          <w:sz w:val="28"/>
          <w:szCs w:val="28"/>
        </w:rPr>
        <w:t xml:space="preserve"> </w:t>
      </w:r>
      <w:r w:rsidRPr="00377C39">
        <w:rPr>
          <w:rFonts w:ascii="Times New Roman" w:hAnsi="Times New Roman"/>
          <w:sz w:val="28"/>
          <w:szCs w:val="28"/>
        </w:rPr>
        <w:t>торговой</w:t>
      </w:r>
      <w:r w:rsidR="00377C39">
        <w:rPr>
          <w:rFonts w:ascii="Times New Roman" w:hAnsi="Times New Roman"/>
          <w:sz w:val="28"/>
          <w:szCs w:val="28"/>
        </w:rPr>
        <w:t xml:space="preserve"> </w:t>
      </w:r>
      <w:r w:rsidRPr="00377C39">
        <w:rPr>
          <w:rFonts w:ascii="Times New Roman" w:hAnsi="Times New Roman"/>
          <w:sz w:val="28"/>
          <w:szCs w:val="28"/>
        </w:rPr>
        <w:t>организации (ВТО) позволит более эффективно содействовать развитию экспортных возможностей российских производителей, создаст условия для продвижения на зарубежные рынки отечественных товаров с более высокой степенью переработки, что позволит облагородить структуру российского экспорта, обеспечит улучшение доступа российских товаров и услуг на зарубежные рынки и увеличит степень защищенности отечественных производителей на российском и зарубежном рынках. Сейчас Россия пока находится вне рамок действия</w:t>
      </w:r>
      <w:r w:rsidR="00377C39">
        <w:rPr>
          <w:rFonts w:ascii="Times New Roman" w:hAnsi="Times New Roman"/>
          <w:sz w:val="28"/>
          <w:szCs w:val="28"/>
        </w:rPr>
        <w:t xml:space="preserve"> </w:t>
      </w:r>
      <w:r w:rsidRPr="00377C39">
        <w:rPr>
          <w:rFonts w:ascii="Times New Roman" w:hAnsi="Times New Roman"/>
          <w:sz w:val="28"/>
          <w:szCs w:val="28"/>
        </w:rPr>
        <w:t>согласованного «кодекса поведения» участников мирового</w:t>
      </w:r>
      <w:r w:rsidR="00377C39">
        <w:rPr>
          <w:rFonts w:ascii="Times New Roman" w:hAnsi="Times New Roman"/>
          <w:sz w:val="28"/>
          <w:szCs w:val="28"/>
        </w:rPr>
        <w:t xml:space="preserve"> </w:t>
      </w:r>
      <w:r w:rsidRPr="00377C39">
        <w:rPr>
          <w:rFonts w:ascii="Times New Roman" w:hAnsi="Times New Roman"/>
          <w:sz w:val="28"/>
          <w:szCs w:val="28"/>
        </w:rPr>
        <w:t>внешнеэкономического обмена и не может использовать механизм разрешения споров в рамках ВТО в случаях дискриминации торговых интересов российских производителей. Сегодня это наиболее ярко проявляется применительно к российской сталел</w:t>
      </w:r>
      <w:r w:rsidR="00CF3BE3" w:rsidRPr="00377C39">
        <w:rPr>
          <w:rFonts w:ascii="Times New Roman" w:hAnsi="Times New Roman"/>
          <w:sz w:val="28"/>
          <w:szCs w:val="28"/>
        </w:rPr>
        <w:t>итейной и химической продукции.</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настоящее время в основном уже завершен так называемый «информационный</w:t>
      </w:r>
      <w:r w:rsidR="00377C39">
        <w:rPr>
          <w:rFonts w:ascii="Times New Roman" w:hAnsi="Times New Roman"/>
          <w:sz w:val="28"/>
          <w:szCs w:val="28"/>
        </w:rPr>
        <w:t xml:space="preserve"> </w:t>
      </w:r>
      <w:r w:rsidRPr="00377C39">
        <w:rPr>
          <w:rFonts w:ascii="Times New Roman" w:hAnsi="Times New Roman"/>
          <w:sz w:val="28"/>
          <w:szCs w:val="28"/>
        </w:rPr>
        <w:t>этап»</w:t>
      </w:r>
      <w:r w:rsidR="00377C39">
        <w:rPr>
          <w:rFonts w:ascii="Times New Roman" w:hAnsi="Times New Roman"/>
          <w:sz w:val="28"/>
          <w:szCs w:val="28"/>
        </w:rPr>
        <w:t xml:space="preserve"> </w:t>
      </w:r>
      <w:r w:rsidRPr="00377C39">
        <w:rPr>
          <w:rFonts w:ascii="Times New Roman" w:hAnsi="Times New Roman"/>
          <w:sz w:val="28"/>
          <w:szCs w:val="28"/>
        </w:rPr>
        <w:t>этого процесса. Начаты консультации и переговоры на двустороннем и многостороннем уровнях по выработке конкретных условий принятия России в ВТО. В ходе этих переговоров имеется в виду добиться обеспечения таких условий членства России в этой международной организации, которые способствовали бы улучшению торгово-политического режима в целом, учитывали бы интересы российских производителей и экспортеров, а также интересы стран – членов ВТО в плане условий доступа иностранных товар</w:t>
      </w:r>
      <w:r w:rsidR="00CF3BE3" w:rsidRPr="00377C39">
        <w:rPr>
          <w:rFonts w:ascii="Times New Roman" w:hAnsi="Times New Roman"/>
          <w:sz w:val="28"/>
          <w:szCs w:val="28"/>
        </w:rPr>
        <w:t>ов и услуг на российский рынок.</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Присоединение России к ВТО возможно лишь после достижения в ходе переговорного процесса указанного баланса интересов, что в свою очередь зависит не только от российской стороны, но и от по</w:t>
      </w:r>
      <w:r w:rsidR="00CF3BE3" w:rsidRPr="00377C39">
        <w:rPr>
          <w:rFonts w:ascii="Times New Roman" w:hAnsi="Times New Roman"/>
          <w:sz w:val="28"/>
          <w:szCs w:val="28"/>
        </w:rPr>
        <w:t>зиции наших торговых партнеров.</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Установленный в России внешнеторговый режим либерализован до уровня промышленно развитых стран с устоявшимися рыночными отношениями. Это позволяет создавать на внутреннем, рынке конкурентную среду, обеспечивать его наполнение товарами и услугами, объем которых способен удовлетворить потребности, как производственного сектора, так и населения. В то же время следует отметить, что наши торговые партнеры не всегда готовы открыть свои рынки для российских товаров, применяя ограничитель­ные меры и тем самым нарушая принцип взаимности в то</w:t>
      </w:r>
      <w:r w:rsidR="00CF3BE3" w:rsidRPr="00377C39">
        <w:rPr>
          <w:rFonts w:ascii="Times New Roman" w:hAnsi="Times New Roman"/>
          <w:sz w:val="28"/>
          <w:szCs w:val="28"/>
        </w:rPr>
        <w:t>ргово-экономических отношениях.</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настоящее время ограничительные меры (главным образом антидемпинговые пошлины и угрозы при­менения таковых) по отношению к российским товарам используют ЕС и еще 11 стран (США</w:t>
      </w:r>
      <w:r w:rsidR="00CF3BE3" w:rsidRPr="00377C39">
        <w:rPr>
          <w:rFonts w:ascii="Times New Roman" w:hAnsi="Times New Roman"/>
          <w:sz w:val="28"/>
          <w:szCs w:val="28"/>
        </w:rPr>
        <w:t>, Канада, Турция, Индия и др.).</w:t>
      </w:r>
    </w:p>
    <w:p w:rsidR="0031215B"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этой связи ведется постоянная работа по устранению искусственных барьеров, сдерживающих экспорт российских товаров, путем урегулирования торговых споров. В частности, в 1998 г. было урегулировано 7 таких споров, в том числе по экспорту титановой губки, кованого титана, капролактама и вольфрама.</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 целью повышения эффективности функционирования внешнеэкономического комплекса необходимо развитие системы и принципов государственного регулирования внешнеэкономических связей в соответствии с курсом государства на поддержку реального сектора экомики. Оно включает ряд о</w:t>
      </w:r>
      <w:r w:rsidR="00CF3BE3" w:rsidRPr="00377C39">
        <w:rPr>
          <w:rFonts w:ascii="Times New Roman" w:hAnsi="Times New Roman"/>
          <w:sz w:val="28"/>
          <w:szCs w:val="28"/>
        </w:rPr>
        <w:t>сновных направлений. Речь идет:</w:t>
      </w:r>
    </w:p>
    <w:p w:rsidR="00AE2EA2" w:rsidRPr="00377C39" w:rsidRDefault="00AE2EA2" w:rsidP="00377C39">
      <w:pPr>
        <w:pStyle w:val="a5"/>
        <w:widowControl w:val="0"/>
        <w:numPr>
          <w:ilvl w:val="0"/>
          <w:numId w:val="9"/>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во-первых, о выработке и реализации</w:t>
      </w:r>
      <w:r w:rsidR="00377C39">
        <w:rPr>
          <w:rFonts w:ascii="Times New Roman" w:hAnsi="Times New Roman"/>
          <w:sz w:val="28"/>
          <w:szCs w:val="28"/>
        </w:rPr>
        <w:t xml:space="preserve"> </w:t>
      </w:r>
      <w:r w:rsidRPr="00377C39">
        <w:rPr>
          <w:rFonts w:ascii="Times New Roman" w:hAnsi="Times New Roman"/>
          <w:sz w:val="28"/>
          <w:szCs w:val="28"/>
        </w:rPr>
        <w:t>целостной экспортной политики России, включая вопросы оптимизации топливно-сырьевого экспорта, поддержки экспорта готовых изделий и услуг (как традиционных, так и прогрессивных их видов, включая экспорт технологий и ноу-хау). Большую роль в развитии промышленного экспорта должна сыграть Концепция промышленной политики с экспортной ори</w:t>
      </w:r>
      <w:r w:rsidR="00CF3BE3" w:rsidRPr="00377C39">
        <w:rPr>
          <w:rFonts w:ascii="Times New Roman" w:hAnsi="Times New Roman"/>
          <w:sz w:val="28"/>
          <w:szCs w:val="28"/>
        </w:rPr>
        <w:t>ентацией на период до 2005 г.;</w:t>
      </w:r>
    </w:p>
    <w:p w:rsidR="00AE2EA2" w:rsidRPr="00377C39" w:rsidRDefault="00AE2EA2" w:rsidP="00377C39">
      <w:pPr>
        <w:pStyle w:val="a5"/>
        <w:widowControl w:val="0"/>
        <w:numPr>
          <w:ilvl w:val="0"/>
          <w:numId w:val="9"/>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во-вторых, об улучшении доступа</w:t>
      </w:r>
      <w:r w:rsidR="00377C39">
        <w:rPr>
          <w:rFonts w:ascii="Times New Roman" w:hAnsi="Times New Roman"/>
          <w:sz w:val="28"/>
          <w:szCs w:val="28"/>
        </w:rPr>
        <w:t xml:space="preserve"> </w:t>
      </w:r>
      <w:r w:rsidRPr="00377C39">
        <w:rPr>
          <w:rFonts w:ascii="Times New Roman" w:hAnsi="Times New Roman"/>
          <w:sz w:val="28"/>
          <w:szCs w:val="28"/>
        </w:rPr>
        <w:t>российских</w:t>
      </w:r>
      <w:r w:rsidR="00377C39">
        <w:rPr>
          <w:rFonts w:ascii="Times New Roman" w:hAnsi="Times New Roman"/>
          <w:sz w:val="28"/>
          <w:szCs w:val="28"/>
        </w:rPr>
        <w:t xml:space="preserve"> </w:t>
      </w:r>
      <w:r w:rsidRPr="00377C39">
        <w:rPr>
          <w:rFonts w:ascii="Times New Roman" w:hAnsi="Times New Roman"/>
          <w:sz w:val="28"/>
          <w:szCs w:val="28"/>
        </w:rPr>
        <w:t>товаров</w:t>
      </w:r>
      <w:r w:rsidR="00377C39">
        <w:rPr>
          <w:rFonts w:ascii="Times New Roman" w:hAnsi="Times New Roman"/>
          <w:sz w:val="28"/>
          <w:szCs w:val="28"/>
        </w:rPr>
        <w:t xml:space="preserve"> </w:t>
      </w:r>
      <w:r w:rsidRPr="00377C39">
        <w:rPr>
          <w:rFonts w:ascii="Times New Roman" w:hAnsi="Times New Roman"/>
          <w:sz w:val="28"/>
          <w:szCs w:val="28"/>
        </w:rPr>
        <w:t>на внешние рынки, имея в виду обеспечение благоприятных торгово-политических и правовых условий для российских участников внешнеэкономических связей и их равноправное участие в мировой торговле, усиление роли государства в снятии необоснованных ограничений и создание более благоприятных условий для продвижения росси</w:t>
      </w:r>
      <w:r w:rsidR="00CF3BE3" w:rsidRPr="00377C39">
        <w:rPr>
          <w:rFonts w:ascii="Times New Roman" w:hAnsi="Times New Roman"/>
          <w:sz w:val="28"/>
          <w:szCs w:val="28"/>
        </w:rPr>
        <w:t>йских товаров на внешние рынки;</w:t>
      </w:r>
    </w:p>
    <w:p w:rsidR="00AE2EA2" w:rsidRPr="00377C39" w:rsidRDefault="00AE2EA2" w:rsidP="00377C39">
      <w:pPr>
        <w:pStyle w:val="a5"/>
        <w:widowControl w:val="0"/>
        <w:numPr>
          <w:ilvl w:val="0"/>
          <w:numId w:val="9"/>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в-третьих, о защите внутреннего рынка, исходя из общепринятых международных норм и правил, с использованием всего арсенала предусмотренных российским </w:t>
      </w:r>
      <w:r w:rsidR="00CF3BE3" w:rsidRPr="00377C39">
        <w:rPr>
          <w:rFonts w:ascii="Times New Roman" w:hAnsi="Times New Roman"/>
          <w:sz w:val="28"/>
          <w:szCs w:val="28"/>
        </w:rPr>
        <w:t>законодательством инструментов.</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При этом введение дополнительных мер по упорядочению доступа импортных товаров на российский рынок не должно стать орудием необоснованного протекционизма. Они должны быть направлены, в первую очередь, на защиту конкурентоспособных и перспективных</w:t>
      </w:r>
      <w:r w:rsidR="00377C39">
        <w:rPr>
          <w:rFonts w:ascii="Times New Roman" w:hAnsi="Times New Roman"/>
          <w:sz w:val="28"/>
          <w:szCs w:val="28"/>
        </w:rPr>
        <w:t xml:space="preserve"> </w:t>
      </w:r>
      <w:r w:rsidRPr="00377C39">
        <w:rPr>
          <w:rFonts w:ascii="Times New Roman" w:hAnsi="Times New Roman"/>
          <w:sz w:val="28"/>
          <w:szCs w:val="28"/>
        </w:rPr>
        <w:t>отече</w:t>
      </w:r>
      <w:r w:rsidR="00CF3BE3" w:rsidRPr="00377C39">
        <w:rPr>
          <w:rFonts w:ascii="Times New Roman" w:hAnsi="Times New Roman"/>
          <w:sz w:val="28"/>
          <w:szCs w:val="28"/>
        </w:rPr>
        <w:t>ственных производств.</w:t>
      </w:r>
    </w:p>
    <w:p w:rsidR="00AE2EA2" w:rsidRPr="00377C39"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Реализация указанных направлений должна сопровождаться усилением контроля за осуществлени</w:t>
      </w:r>
      <w:r w:rsidR="00CF3BE3" w:rsidRPr="00377C39">
        <w:rPr>
          <w:rFonts w:ascii="Times New Roman" w:hAnsi="Times New Roman"/>
          <w:sz w:val="28"/>
          <w:szCs w:val="28"/>
        </w:rPr>
        <w:t>ем внешнеторговой деятельности;</w:t>
      </w:r>
    </w:p>
    <w:p w:rsidR="00AE2EA2" w:rsidRDefault="00AE2EA2"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в-четвертых, о формировании международных региональных приоритетов</w:t>
      </w:r>
      <w:r w:rsidR="00377C39">
        <w:rPr>
          <w:rFonts w:ascii="Times New Roman" w:hAnsi="Times New Roman"/>
          <w:sz w:val="28"/>
          <w:szCs w:val="28"/>
        </w:rPr>
        <w:t xml:space="preserve"> </w:t>
      </w:r>
      <w:r w:rsidRPr="00377C39">
        <w:rPr>
          <w:rFonts w:ascii="Times New Roman" w:hAnsi="Times New Roman"/>
          <w:sz w:val="28"/>
          <w:szCs w:val="28"/>
        </w:rPr>
        <w:t>внешнеэкономической политики.</w:t>
      </w:r>
    </w:p>
    <w:p w:rsidR="00377C39" w:rsidRPr="00377C39" w:rsidRDefault="00377C39" w:rsidP="00377C39">
      <w:pPr>
        <w:pStyle w:val="a5"/>
        <w:widowControl w:val="0"/>
        <w:spacing w:after="0" w:line="360" w:lineRule="auto"/>
        <w:ind w:left="0" w:firstLine="709"/>
        <w:jc w:val="both"/>
        <w:rPr>
          <w:rFonts w:ascii="Times New Roman" w:hAnsi="Times New Roman"/>
          <w:sz w:val="28"/>
          <w:szCs w:val="28"/>
        </w:rPr>
      </w:pPr>
    </w:p>
    <w:p w:rsidR="00AE2EA2" w:rsidRPr="00377C39" w:rsidRDefault="00AE2EA2"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Валюта страны, платежный баланс страны</w:t>
      </w:r>
    </w:p>
    <w:p w:rsidR="00377C39" w:rsidRDefault="00377C39" w:rsidP="00377C39">
      <w:pPr>
        <w:pStyle w:val="a5"/>
        <w:widowControl w:val="0"/>
        <w:spacing w:after="0" w:line="360" w:lineRule="auto"/>
        <w:ind w:left="0" w:firstLine="709"/>
        <w:jc w:val="both"/>
        <w:rPr>
          <w:rFonts w:ascii="Times New Roman" w:hAnsi="Times New Roman"/>
          <w:sz w:val="28"/>
          <w:szCs w:val="28"/>
        </w:rPr>
      </w:pPr>
    </w:p>
    <w:p w:rsidR="004B308E"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Платежный баланс – это статический документ, в котором в систематизированном виде отражены все внешнеэкономические операции страны с другими государствами </w:t>
      </w:r>
      <w:r w:rsidR="004B308E" w:rsidRPr="00377C39">
        <w:rPr>
          <w:rFonts w:ascii="Times New Roman" w:hAnsi="Times New Roman"/>
          <w:sz w:val="28"/>
          <w:szCs w:val="28"/>
        </w:rPr>
        <w:t>за определенный период времени.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Платежный баланс характеризует соотношение платежей, поступающих в страну из-за границы, и платежей, произведенных ею за границей.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Платежный баланс составляется с целью учета результатов внешнеэкономической деятельности страны.</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Внешнеторговые сделки, показывающие поступление валюты в страну, отражаются в платежном балансе со знаком «плюс». Платежи и расходы за рубежом заносятся в баланс со знаком «минус».</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Между направлением изменений в ресурсах (активах) страны и его отражением в платежном балансе наблюдается определенное противоречие: увеличение активов обозначается знаком «минус», тогда как уменьшение активов – знаком «плюс». Но это объясняется тем, что в платежном балансе фиксируются не сами внешнеэкономические операции в своей натуральной субстанции, а их денежный результат – фактический или предполагаемый.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Увеличение активов обязательно требует денежных затрат, денежных расходов, – отсюда знак «минус» в платежном балансе. Уменьшение активов должно сопровождаться поступлением денег – отсюда знак «плюс».</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Аналогичным образом, уменьшение (пассивов) обязательств может быть достигнуто только расходованием денежных средств («минус»), тогда как увеличение обязательств обычно сопровождается притоком денег («плюс»).</w:t>
      </w:r>
    </w:p>
    <w:p w:rsidR="00AE2EA2"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Соответственно, например, экспорт товаров всегда будет отражаться в доходной части платежного баланса, поскольку в этом случае имеет место уменьшение товарных активов страны, которое как результат продажи должно сопровождаться поступлением денег. Наоборот, импорт товаров всегда фиксируется расходной части платежного баланса, ибо при этом происходит увеличение товарных ресурсов (активов) страны, а это требует затраты определенной суммы денег.</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Существеннейшая особенность платежного баланса состоит в том, что в нем учитываются не любые валютные операции, а лишь те, что совершаются между субъектами валютных отношений разных стран – резидентами (лицами и учреждениями данной страны) и нерезидентами (лицами и учреждениями зарубежных государств).</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Структура платежного баланса состоит из 2 разделов:</w:t>
      </w:r>
    </w:p>
    <w:p w:rsidR="00C4753D" w:rsidRPr="00377C39" w:rsidRDefault="00C4753D" w:rsidP="00377C39">
      <w:pPr>
        <w:pStyle w:val="a5"/>
        <w:widowControl w:val="0"/>
        <w:numPr>
          <w:ilvl w:val="0"/>
          <w:numId w:val="7"/>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счет текущих операций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нем фиксируются экспорт и импорт товаров и услуг, чистый доход от инвестиций и чистый объём трансфертных платежей.</w:t>
      </w:r>
    </w:p>
    <w:p w:rsidR="00C4753D" w:rsidRPr="00377C39" w:rsidRDefault="00C4753D" w:rsidP="00377C39">
      <w:pPr>
        <w:pStyle w:val="a5"/>
        <w:widowControl w:val="0"/>
        <w:numPr>
          <w:ilvl w:val="0"/>
          <w:numId w:val="7"/>
        </w:numPr>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счет движения капиталов и финансовых ресурсов</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Платежный баланс включает:</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торговый баланс</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 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Пассивный торговый баланс считается нежелательным и обычно оценивается как признак слабости внешнеэкономических позиций станы.</w:t>
      </w:r>
    </w:p>
    <w:p w:rsidR="00C4753D" w:rsidRPr="00377C39" w:rsidRDefault="003770A3"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w:t>
      </w:r>
      <w:r w:rsidR="00C4753D" w:rsidRPr="00377C39">
        <w:rPr>
          <w:rFonts w:ascii="Times New Roman" w:hAnsi="Times New Roman"/>
          <w:sz w:val="28"/>
          <w:szCs w:val="28"/>
        </w:rPr>
        <w:t xml:space="preserve"> баланс услуг и некоммерческих платежей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Баланс услуг включает платежи и поступления по транспортным перевозкам, страхованию, электронной,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т.д. Услуги представляют собой динамично развивающийся сектор мировых экономических связей. </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Особую позицию в платежном балансе занимают односторонние переводы. В их числе:</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государственные операции (субсидии другим странам по линии экономической помощи, государственные пенсии, взносы в международные организации)</w:t>
      </w:r>
    </w:p>
    <w:p w:rsidR="00C4753D" w:rsidRPr="00377C39" w:rsidRDefault="00915B14"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w:t>
      </w:r>
      <w:r w:rsidR="00C4753D" w:rsidRPr="00377C39">
        <w:rPr>
          <w:rFonts w:ascii="Times New Roman" w:hAnsi="Times New Roman"/>
          <w:sz w:val="28"/>
          <w:szCs w:val="28"/>
        </w:rPr>
        <w:t xml:space="preserve"> частные операции (переводы иностранных рабочих, специалистов, родственников на родину). Этот вид операций имеет большое экономическое значение.</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баланс движения капиталов и кредитов</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 Эти операции делятся на две категории: международное движение предпринимательского и ссудного капитала.</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Международное движение ссудного капитала классифицируется по признаку срочности. </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Краткосрочные операции включают международные кредиты сроком до года, текущие счета национальных банков в иностранных банках, перемещение денежного капитала между банками.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Статьи платёжного баланса выглядят следующим образом:</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1. Счёт текущих операций</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A. Товары и услуги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a. Товары</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b. Услуги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B. (Факторные) доходы</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C. Текущие трансферты</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2. Счёт операций с капиталом и финансовыми инструментами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A. Счёт операций с капиталом</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B. Финансовый счёт.</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1. Прямые инвестиции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2. Портфельные инвестиции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3. Другие инвестиции</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4. Резервные активы</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Сальдо платёжного баланса – разность между поступлениями из-за границы и платежами за границу.</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Положительное сальдо платёжного баланса означает превышение всех платежей в страну над платежами из страны. Отрицательное сальдо платёжного баланса – превышение платежей из страны над платежами в страну. Обычно международные платежи осуществляются в долларах США или евро.</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Отрицательное сальдо платёжного баланса постепенно уменьшает валютный резерв страны. Требуется его пополнение за счёт продажи товаров за валюту или получения стабилизационных займов. Но этого не происходит, если платежи производятся в национальной валюте государства.</w:t>
      </w:r>
    </w:p>
    <w:p w:rsidR="00C4753D" w:rsidRPr="00377C39" w:rsidRDefault="00C4753D"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Если подобный приток капитала осуществляется не через долгосрочные предпринимательские инвестиции (т.е. прямые и портфельные), а через долгосрочные государственные и частные банковские займы и особенно посредством чрезвычайного финансирования и роста внешних обязательств, то это ведет к быстрому увеличению внешнего долга страны и выплат по нему. Страна начинает жить в кредит.</w:t>
      </w:r>
    </w:p>
    <w:p w:rsidR="00C4753D" w:rsidRPr="00F825FC" w:rsidRDefault="00214499" w:rsidP="00377C39">
      <w:pPr>
        <w:pStyle w:val="a5"/>
        <w:widowControl w:val="0"/>
        <w:spacing w:after="0" w:line="360" w:lineRule="auto"/>
        <w:ind w:left="0" w:firstLine="709"/>
        <w:jc w:val="both"/>
        <w:rPr>
          <w:rFonts w:ascii="Times New Roman" w:hAnsi="Times New Roman"/>
          <w:color w:val="FFFFFF"/>
          <w:sz w:val="28"/>
          <w:szCs w:val="28"/>
        </w:rPr>
      </w:pPr>
      <w:r w:rsidRPr="00F825FC">
        <w:rPr>
          <w:rFonts w:ascii="Times New Roman" w:hAnsi="Times New Roman"/>
          <w:color w:val="FFFFFF"/>
          <w:sz w:val="28"/>
          <w:szCs w:val="28"/>
        </w:rPr>
        <w:t>импорт экспорт цена инвестиция</w:t>
      </w:r>
    </w:p>
    <w:tbl>
      <w:tblPr>
        <w:tblW w:w="4861" w:type="pct"/>
        <w:tblLook w:val="04A0" w:firstRow="1" w:lastRow="0" w:firstColumn="1" w:lastColumn="0" w:noHBand="0" w:noVBand="1"/>
      </w:tblPr>
      <w:tblGrid>
        <w:gridCol w:w="4293"/>
        <w:gridCol w:w="1204"/>
        <w:gridCol w:w="1185"/>
        <w:gridCol w:w="1347"/>
        <w:gridCol w:w="1275"/>
      </w:tblGrid>
      <w:tr w:rsidR="00344D62" w:rsidRPr="00377C39" w:rsidTr="00214499">
        <w:trPr>
          <w:trHeight w:val="300"/>
        </w:trPr>
        <w:tc>
          <w:tcPr>
            <w:tcW w:w="5000" w:type="pct"/>
            <w:gridSpan w:val="5"/>
            <w:tcBorders>
              <w:top w:val="single" w:sz="8" w:space="0" w:color="auto"/>
              <w:left w:val="single" w:sz="8" w:space="0" w:color="auto"/>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 xml:space="preserve"> Оценка платежного баланса Российской Федерации за 2010 год</w:t>
            </w:r>
          </w:p>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(млрд. долл. США)</w:t>
            </w:r>
            <w:r w:rsidR="00377C39" w:rsidRPr="00377C39">
              <w:rPr>
                <w:rFonts w:ascii="Times New Roman" w:hAnsi="Times New Roman"/>
                <w:sz w:val="20"/>
                <w:szCs w:val="20"/>
                <w:lang w:eastAsia="ru-RU"/>
              </w:rPr>
              <w:t xml:space="preserve"> </w:t>
            </w:r>
          </w:p>
        </w:tc>
      </w:tr>
      <w:tr w:rsidR="001E7FF5" w:rsidRPr="00377C39" w:rsidTr="00214499">
        <w:trPr>
          <w:trHeight w:val="9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77C39"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 xml:space="preserve"> </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2010 г.(оценка)</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2009 г.</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январь-сентябрь 2010 г.</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январь -сентябрь 2009 г.</w:t>
            </w:r>
          </w:p>
        </w:tc>
      </w:tr>
      <w:tr w:rsidR="001E7FF5" w:rsidRPr="00377C39" w:rsidTr="00214499">
        <w:trPr>
          <w:trHeight w:val="18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текущих операций</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72,6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49,4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58,3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33,3</w:t>
            </w:r>
          </w:p>
        </w:tc>
      </w:tr>
      <w:tr w:rsidR="001E7FF5" w:rsidRPr="00377C39" w:rsidTr="00214499">
        <w:trPr>
          <w:trHeight w:val="147"/>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Торговый баланс</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149,2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111,6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114,9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76,4</w:t>
            </w:r>
          </w:p>
        </w:tc>
      </w:tr>
      <w:tr w:rsidR="001E7FF5" w:rsidRPr="00377C39" w:rsidTr="00214499">
        <w:trPr>
          <w:trHeight w:val="19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Экспорт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303,4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287,4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207,8</w:t>
            </w:r>
          </w:p>
        </w:tc>
      </w:tr>
      <w:tr w:rsidR="001E7FF5" w:rsidRPr="00377C39" w:rsidTr="00214499">
        <w:trPr>
          <w:trHeight w:val="26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сырая нефть</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134,1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100,6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98,9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69,1</w:t>
            </w:r>
          </w:p>
        </w:tc>
      </w:tr>
      <w:tr w:rsidR="001E7FF5" w:rsidRPr="00377C39" w:rsidTr="00214499">
        <w:trPr>
          <w:trHeight w:val="26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нефтепродукты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32,6</w:t>
            </w:r>
          </w:p>
        </w:tc>
      </w:tr>
      <w:tr w:rsidR="001E7FF5" w:rsidRPr="00377C39" w:rsidTr="00214499">
        <w:trPr>
          <w:trHeight w:val="22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природный газ</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32,7</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27,9</w:t>
            </w:r>
          </w:p>
        </w:tc>
      </w:tr>
      <w:tr w:rsidR="001E7FF5" w:rsidRPr="00377C39" w:rsidTr="00214499">
        <w:trPr>
          <w:trHeight w:val="24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146,2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112,7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104,6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78,2</w:t>
            </w:r>
          </w:p>
        </w:tc>
      </w:tr>
      <w:tr w:rsidR="001E7FF5" w:rsidRPr="00377C39" w:rsidTr="00214499">
        <w:trPr>
          <w:trHeight w:val="26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Импорт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-248,8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-191,8</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-172,5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-131,5</w:t>
            </w:r>
          </w:p>
        </w:tc>
      </w:tr>
      <w:tr w:rsidR="001E7FF5" w:rsidRPr="00377C39" w:rsidTr="00214499">
        <w:trPr>
          <w:trHeight w:val="27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услуг</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-27,3</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-19,7</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-14,3</w:t>
            </w:r>
          </w:p>
        </w:tc>
      </w:tr>
      <w:tr w:rsidR="001E7FF5" w:rsidRPr="00377C39" w:rsidTr="00214499">
        <w:trPr>
          <w:trHeight w:val="28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Экспорт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30,4</w:t>
            </w:r>
          </w:p>
        </w:tc>
      </w:tr>
      <w:tr w:rsidR="001E7FF5" w:rsidRPr="00377C39" w:rsidTr="00214499">
        <w:trPr>
          <w:trHeight w:val="25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Импорт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-44,7</w:t>
            </w:r>
          </w:p>
        </w:tc>
      </w:tr>
      <w:tr w:rsidR="001E7FF5" w:rsidRPr="00377C39" w:rsidTr="00214499">
        <w:trPr>
          <w:trHeight w:val="13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оплаты труда</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-8,6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-6,4</w:t>
            </w:r>
          </w:p>
        </w:tc>
      </w:tr>
      <w:tr w:rsidR="001E7FF5" w:rsidRPr="00377C39" w:rsidTr="00214499">
        <w:trPr>
          <w:trHeight w:val="295"/>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инвестиционных доходов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-30,8</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-20,5</w:t>
            </w:r>
          </w:p>
        </w:tc>
      </w:tr>
      <w:tr w:rsidR="001E7FF5" w:rsidRPr="00377C39" w:rsidTr="00214499">
        <w:trPr>
          <w:trHeight w:val="9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25,2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25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-68,8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-52,4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-43,6</w:t>
            </w:r>
          </w:p>
        </w:tc>
      </w:tr>
      <w:tr w:rsidR="001E7FF5" w:rsidRPr="00377C39" w:rsidTr="00214499">
        <w:trPr>
          <w:trHeight w:val="24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Федеральные органы управления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r>
      <w:tr w:rsidR="001E7FF5" w:rsidRPr="00377C39" w:rsidTr="00214499">
        <w:trPr>
          <w:trHeight w:val="36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r>
      <w:tr w:rsidR="001E7FF5" w:rsidRPr="00377C39" w:rsidTr="00214499">
        <w:trPr>
          <w:trHeight w:val="13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60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Субъекты Российской Федерации (доходы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17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r>
      <w:tr w:rsidR="001E7FF5" w:rsidRPr="00377C39" w:rsidTr="00214499">
        <w:trPr>
          <w:trHeight w:val="315"/>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r>
      <w:tr w:rsidR="001E7FF5" w:rsidRPr="00377C39" w:rsidTr="00214499">
        <w:trPr>
          <w:trHeight w:val="15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41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r>
      <w:tr w:rsidR="001E7FF5" w:rsidRPr="00377C39" w:rsidTr="00214499">
        <w:trPr>
          <w:trHeight w:val="26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5,8</w:t>
            </w:r>
          </w:p>
        </w:tc>
      </w:tr>
      <w:tr w:rsidR="001E7FF5" w:rsidRPr="00377C39" w:rsidTr="00214499">
        <w:trPr>
          <w:trHeight w:val="28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-10,3</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-9,8</w:t>
            </w:r>
          </w:p>
        </w:tc>
      </w:tr>
      <w:tr w:rsidR="001E7FF5" w:rsidRPr="00377C39" w:rsidTr="00214499">
        <w:trPr>
          <w:trHeight w:val="27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-31,5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-21,8</w:t>
            </w:r>
          </w:p>
        </w:tc>
      </w:tr>
      <w:tr w:rsidR="001E7FF5" w:rsidRPr="00377C39" w:rsidTr="00214499">
        <w:trPr>
          <w:trHeight w:val="418"/>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10,7</w:t>
            </w:r>
          </w:p>
        </w:tc>
      </w:tr>
      <w:tr w:rsidR="001E7FF5" w:rsidRPr="00377C39" w:rsidTr="00214499">
        <w:trPr>
          <w:trHeight w:val="13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-43,3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-32,5</w:t>
            </w:r>
          </w:p>
        </w:tc>
      </w:tr>
      <w:tr w:rsidR="001E7FF5" w:rsidRPr="00377C39" w:rsidTr="00214499">
        <w:trPr>
          <w:trHeight w:val="28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текущих трансфертов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w:t>
            </w:r>
          </w:p>
        </w:tc>
      </w:tr>
      <w:tr w:rsidR="001E7FF5" w:rsidRPr="00377C39" w:rsidTr="00214499">
        <w:trPr>
          <w:trHeight w:val="64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операций с капиталом и финансовыми инструментами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-30,5</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-44,3</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-56,3</w:t>
            </w:r>
          </w:p>
        </w:tc>
      </w:tr>
      <w:tr w:rsidR="001E7FF5" w:rsidRPr="00377C39" w:rsidTr="00214499">
        <w:trPr>
          <w:trHeight w:val="56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операций с капиталом (капитальные трансферты)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r>
      <w:tr w:rsidR="001E7FF5" w:rsidRPr="00377C39" w:rsidTr="00214499">
        <w:trPr>
          <w:trHeight w:val="238"/>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Финансовый счет (кроме резервных активов)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-44,4</w:t>
            </w:r>
          </w:p>
        </w:tc>
      </w:tr>
      <w:tr w:rsidR="001E7FF5" w:rsidRPr="00377C39" w:rsidTr="00214499">
        <w:trPr>
          <w:trHeight w:val="157"/>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Обязательства ('+' - рост, '-' - снижение)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r>
      <w:tr w:rsidR="001E7FF5" w:rsidRPr="00377C39" w:rsidTr="00214499">
        <w:trPr>
          <w:trHeight w:val="22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Федеральные органы управления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r>
      <w:tr w:rsidR="001E7FF5" w:rsidRPr="00377C39" w:rsidTr="00214499">
        <w:trPr>
          <w:trHeight w:val="31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Портфельные инвестиции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r>
      <w:tr w:rsidR="001E7FF5" w:rsidRPr="00377C39" w:rsidTr="00214499">
        <w:trPr>
          <w:trHeight w:val="12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выпуск</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14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погашение</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15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корпусов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r>
      <w:tr w:rsidR="001E7FF5" w:rsidRPr="00377C39" w:rsidTr="00214499">
        <w:trPr>
          <w:trHeight w:val="19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купонов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r>
      <w:tr w:rsidR="001E7FF5" w:rsidRPr="00377C39" w:rsidTr="00214499">
        <w:trPr>
          <w:trHeight w:val="20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реинвестирование доходов</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r>
      <w:tr w:rsidR="001E7FF5" w:rsidRPr="00377C39" w:rsidTr="00214499">
        <w:trPr>
          <w:trHeight w:val="25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вторичный рынок</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w:t>
            </w:r>
          </w:p>
        </w:tc>
      </w:tr>
      <w:tr w:rsidR="001E7FF5" w:rsidRPr="00377C39" w:rsidTr="00214499">
        <w:trPr>
          <w:trHeight w:val="278"/>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r>
      <w:tr w:rsidR="001E7FF5" w:rsidRPr="00377C39" w:rsidTr="00214499">
        <w:trPr>
          <w:trHeight w:val="267"/>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Просроченная задолженность</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17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обязательства</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19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Субъекты Российской Федерации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r>
      <w:tr w:rsidR="001E7FF5" w:rsidRPr="00377C39" w:rsidTr="00214499">
        <w:trPr>
          <w:trHeight w:val="24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9,4</w:t>
            </w:r>
          </w:p>
        </w:tc>
      </w:tr>
      <w:tr w:rsidR="001E7FF5" w:rsidRPr="00377C39" w:rsidTr="00214499">
        <w:trPr>
          <w:trHeight w:val="198"/>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12,9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-35,7</w:t>
            </w:r>
          </w:p>
        </w:tc>
      </w:tr>
      <w:tr w:rsidR="001E7FF5" w:rsidRPr="00377C39" w:rsidTr="00214499">
        <w:trPr>
          <w:trHeight w:val="215"/>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34,4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26,7</w:t>
            </w:r>
          </w:p>
        </w:tc>
      </w:tr>
      <w:tr w:rsidR="001E7FF5" w:rsidRPr="00377C39" w:rsidTr="00214499">
        <w:trPr>
          <w:trHeight w:val="9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Прямые инвестиции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30,3</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w:t>
            </w:r>
          </w:p>
        </w:tc>
      </w:tr>
      <w:tr w:rsidR="001E7FF5" w:rsidRPr="00377C39" w:rsidTr="00214499">
        <w:trPr>
          <w:trHeight w:val="25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Портфельные инвестиции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16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w:t>
            </w:r>
          </w:p>
        </w:tc>
      </w:tr>
      <w:tr w:rsidR="001E7FF5" w:rsidRPr="00377C39" w:rsidTr="00214499">
        <w:trPr>
          <w:trHeight w:val="32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обязательства</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r>
      <w:tr w:rsidR="001E7FF5" w:rsidRPr="00377C39" w:rsidTr="00214499">
        <w:trPr>
          <w:trHeight w:val="505"/>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Активы, кроме резервных</w:t>
            </w:r>
            <w:r w:rsidR="00377C39" w:rsidRPr="00377C39">
              <w:rPr>
                <w:rFonts w:ascii="Times New Roman" w:hAnsi="Times New Roman"/>
                <w:sz w:val="20"/>
                <w:szCs w:val="20"/>
                <w:lang w:eastAsia="ru-RU"/>
              </w:rPr>
              <w:t xml:space="preserve"> </w:t>
            </w:r>
            <w:r w:rsidRPr="00377C39">
              <w:rPr>
                <w:rFonts w:ascii="Times New Roman" w:hAnsi="Times New Roman"/>
                <w:sz w:val="20"/>
                <w:szCs w:val="20"/>
                <w:lang w:eastAsia="ru-RU"/>
              </w:rPr>
              <w:t>('+' - снижение, '-' - рост)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-67,2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-37,5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-46,1</w:t>
            </w:r>
          </w:p>
        </w:tc>
      </w:tr>
      <w:tr w:rsidR="001E7FF5" w:rsidRPr="00377C39" w:rsidTr="00214499">
        <w:trPr>
          <w:trHeight w:val="37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государственного управления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10,2</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10,1</w:t>
            </w:r>
          </w:p>
        </w:tc>
      </w:tr>
      <w:tr w:rsidR="001E7FF5" w:rsidRPr="00377C39" w:rsidTr="00214499">
        <w:trPr>
          <w:trHeight w:val="29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28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Просроченная задолженность</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11,2</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11,3</w:t>
            </w:r>
          </w:p>
        </w:tc>
      </w:tr>
      <w:tr w:rsidR="001E7FF5" w:rsidRPr="00377C39" w:rsidTr="00214499">
        <w:trPr>
          <w:trHeight w:val="19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активы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r>
      <w:tr w:rsidR="001E7FF5" w:rsidRPr="00377C39" w:rsidTr="00214499">
        <w:trPr>
          <w:trHeight w:val="35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r>
      <w:tr w:rsidR="001E7FF5" w:rsidRPr="00377C39" w:rsidTr="00214499">
        <w:trPr>
          <w:trHeight w:val="28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11,8</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w:t>
            </w:r>
          </w:p>
        </w:tc>
      </w:tr>
      <w:tr w:rsidR="001E7FF5" w:rsidRPr="00377C39" w:rsidTr="00214499">
        <w:trPr>
          <w:trHeight w:val="12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-60,3</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-51,6</w:t>
            </w:r>
          </w:p>
        </w:tc>
      </w:tr>
      <w:tr w:rsidR="001E7FF5" w:rsidRPr="00377C39" w:rsidTr="00214499">
        <w:trPr>
          <w:trHeight w:val="15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Прямые и портфельные инвестиции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-41,9</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-44,9</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-35,8</w:t>
            </w:r>
          </w:p>
        </w:tc>
      </w:tr>
      <w:tr w:rsidR="001E7FF5" w:rsidRPr="00377C39" w:rsidTr="00214499">
        <w:trPr>
          <w:trHeight w:val="20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Наличная иностранная валюта</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13,6</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10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Торговые кредиты и авансы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r>
      <w:tr w:rsidR="001E7FF5" w:rsidRPr="00377C39" w:rsidTr="00214499">
        <w:trPr>
          <w:trHeight w:val="581"/>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Задолженность по поставкам на основании межправительственных соглашений</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9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Своевременно не полученная экспортная выручка, не поступившие товары и услуги в счет переводов денежных средств по импортным контрактам, переводы по фиктивным операциям с ценными бумагами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-28,9</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-18,3</w:t>
            </w:r>
          </w:p>
        </w:tc>
      </w:tr>
      <w:tr w:rsidR="001E7FF5" w:rsidRPr="00377C39" w:rsidTr="00214499">
        <w:trPr>
          <w:trHeight w:val="20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активы</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8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Чистые ошибки и пропуски</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34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Изменение валютных резервов ('+' -снижение, '-' -рост)</w:t>
            </w:r>
          </w:p>
        </w:tc>
        <w:tc>
          <w:tcPr>
            <w:tcW w:w="64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-36,8</w:t>
            </w:r>
          </w:p>
        </w:tc>
        <w:tc>
          <w:tcPr>
            <w:tcW w:w="637"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-3,4</w:t>
            </w:r>
          </w:p>
        </w:tc>
        <w:tc>
          <w:tcPr>
            <w:tcW w:w="724" w:type="pct"/>
            <w:tcBorders>
              <w:top w:val="nil"/>
              <w:left w:val="nil"/>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-45,4</w:t>
            </w:r>
          </w:p>
        </w:tc>
        <w:tc>
          <w:tcPr>
            <w:tcW w:w="686" w:type="pct"/>
            <w:tcBorders>
              <w:top w:val="nil"/>
              <w:left w:val="nil"/>
              <w:bottom w:val="single" w:sz="4" w:space="0" w:color="auto"/>
              <w:right w:val="single" w:sz="8"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25,4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текущих операций</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72,6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49,4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58,3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33,3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Торговый баланс</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149,2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111,6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114,9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76,4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Экспорт</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303,4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287,4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207,8</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сырая нефть</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134,1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100,6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98,9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нефтепродукты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32,6</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природный газ</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32,7</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27,9</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146,2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112,7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104,6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78,2</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Импорт</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-248,8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-191,8</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-172,5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-131,5</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услуг</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-27,3</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-19,7</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Экспорт</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Импорт</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-44,7</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оплаты труда</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-8,6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-6,4</w:t>
            </w:r>
          </w:p>
        </w:tc>
      </w:tr>
      <w:tr w:rsidR="001E7FF5" w:rsidRPr="00377C39" w:rsidTr="00214499">
        <w:trPr>
          <w:trHeight w:val="17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инвестиционных доходов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-30,8</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-20,5</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25,2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-68,8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-52,4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-43,6</w:t>
            </w:r>
          </w:p>
        </w:tc>
      </w:tr>
      <w:tr w:rsidR="001E7FF5" w:rsidRPr="00377C39" w:rsidTr="00214499">
        <w:trPr>
          <w:trHeight w:val="36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Федеральные органы управления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6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Субъекты Российской Федерации (доходы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23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5,8</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-10,3</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-7,6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-9,8</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-31,5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-21,8</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получению</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20</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10,7</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Доходы к выплате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-43,3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-32,5</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Баланс текущих трансфертов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-1,9</w:t>
            </w:r>
          </w:p>
        </w:tc>
      </w:tr>
      <w:tr w:rsidR="001E7FF5" w:rsidRPr="00377C39" w:rsidTr="00214499">
        <w:trPr>
          <w:trHeight w:val="6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операций с капиталом и финансовыми инструментами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-30,5</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-44,3</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-56,3</w:t>
            </w:r>
          </w:p>
        </w:tc>
      </w:tr>
      <w:tr w:rsidR="001E7FF5" w:rsidRPr="00377C39" w:rsidTr="00214499">
        <w:trPr>
          <w:trHeight w:val="6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Счет операций с капиталом (капитальные трансферты)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r>
      <w:tr w:rsidR="001E7FF5" w:rsidRPr="00377C39" w:rsidTr="00214499">
        <w:trPr>
          <w:trHeight w:val="23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Финансовый счет (кроме резервных активов)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-44,4</w:t>
            </w:r>
          </w:p>
        </w:tc>
      </w:tr>
      <w:tr w:rsidR="001E7FF5" w:rsidRPr="00377C39" w:rsidTr="00214499">
        <w:trPr>
          <w:trHeight w:val="37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Обязательства ('+' - рост, '-' - снижение)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r>
      <w:tr w:rsidR="001E7FF5" w:rsidRPr="00377C39" w:rsidTr="00214499">
        <w:trPr>
          <w:trHeight w:val="345"/>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Федеральные органы управления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Портфельные инвестиции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выпуск</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погашение</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корпусов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купонов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реинвестирование доходов</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вторичный рынок</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-0,9</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Просроченная задолженность</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обязательства</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w:t>
            </w:r>
          </w:p>
        </w:tc>
      </w:tr>
      <w:tr w:rsidR="001E7FF5" w:rsidRPr="00377C39" w:rsidTr="00214499">
        <w:trPr>
          <w:trHeight w:val="21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Субъекты Российской Федерации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r>
      <w:tr w:rsidR="001E7FF5" w:rsidRPr="00377C39" w:rsidTr="00214499">
        <w:trPr>
          <w:trHeight w:val="28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9,4</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12,9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-35,7</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34,4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26,7</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Прямые инвестиции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30,3</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Портфельные инвестиции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-2,6</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обязательства</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0,6</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w:t>
            </w:r>
          </w:p>
        </w:tc>
      </w:tr>
      <w:tr w:rsidR="001E7FF5" w:rsidRPr="00377C39" w:rsidTr="00214499">
        <w:trPr>
          <w:trHeight w:val="6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Активы, кроме резервных</w:t>
            </w:r>
            <w:r w:rsidR="00377C39" w:rsidRPr="00377C39">
              <w:rPr>
                <w:rFonts w:ascii="Times New Roman" w:hAnsi="Times New Roman"/>
                <w:sz w:val="20"/>
                <w:szCs w:val="20"/>
                <w:lang w:eastAsia="ru-RU"/>
              </w:rPr>
              <w:t xml:space="preserve"> </w:t>
            </w:r>
            <w:r w:rsidRPr="00377C39">
              <w:rPr>
                <w:rFonts w:ascii="Times New Roman" w:hAnsi="Times New Roman"/>
                <w:sz w:val="20"/>
                <w:szCs w:val="20"/>
                <w:lang w:eastAsia="ru-RU"/>
              </w:rPr>
              <w:t>('+' - снижение, '-' - рост)</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-67,2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-37,5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-46,1</w:t>
            </w:r>
          </w:p>
        </w:tc>
      </w:tr>
      <w:tr w:rsidR="001E7FF5" w:rsidRPr="00377C39" w:rsidTr="00214499">
        <w:trPr>
          <w:trHeight w:val="214"/>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государственного управления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-0,3</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10,2</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10,1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Ссуды и займы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Просроченная задолженность</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11,2</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активы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0,8</w:t>
            </w:r>
          </w:p>
        </w:tc>
      </w:tr>
      <w:tr w:rsidR="001E7FF5" w:rsidRPr="00377C39" w:rsidTr="00214499">
        <w:trPr>
          <w:trHeight w:val="219"/>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Органы денежно-кредитного регулирования</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Банки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11,8</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4,8</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-4,6</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секторы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-60,3</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-61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-42,1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-51,6</w:t>
            </w:r>
          </w:p>
        </w:tc>
      </w:tr>
      <w:tr w:rsidR="001E7FF5" w:rsidRPr="00377C39" w:rsidTr="00214499">
        <w:trPr>
          <w:trHeight w:val="136"/>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Прямые и портфельные инвестиции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-41,9</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-44,9</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-32,2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-35,8</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Наличная иностранная валюта</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14,4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13,6</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Торговые кредиты и авансы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-1,5</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-0,2</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3,8</w:t>
            </w:r>
          </w:p>
        </w:tc>
      </w:tr>
      <w:tr w:rsidR="001E7FF5" w:rsidRPr="00377C39" w:rsidTr="00214499">
        <w:trPr>
          <w:trHeight w:val="773"/>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Задолженность по поставкам на основании межправительственных соглашений</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0,5</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1252"/>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Своевременно не полученная экспортная выручка, не поступившие товары и услуги в счет переводов денежных средств по импортным контрактам, переводы по фиктивным операциям с ценными бумагами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-28,9</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-18,3</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Прочие активы</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-2,7</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4,1</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2,1</w:t>
            </w:r>
          </w:p>
        </w:tc>
      </w:tr>
      <w:tr w:rsidR="001E7FF5" w:rsidRPr="00377C39" w:rsidTr="00214499">
        <w:trPr>
          <w:trHeight w:val="300"/>
        </w:trPr>
        <w:tc>
          <w:tcPr>
            <w:tcW w:w="2307" w:type="pct"/>
            <w:tcBorders>
              <w:top w:val="nil"/>
              <w:left w:val="single" w:sz="8" w:space="0" w:color="auto"/>
              <w:bottom w:val="single" w:sz="4"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Чистые ошибки и пропуски</w:t>
            </w:r>
          </w:p>
        </w:tc>
        <w:tc>
          <w:tcPr>
            <w:tcW w:w="64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-5,4</w:t>
            </w:r>
          </w:p>
        </w:tc>
        <w:tc>
          <w:tcPr>
            <w:tcW w:w="637"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-1,7</w:t>
            </w:r>
          </w:p>
        </w:tc>
        <w:tc>
          <w:tcPr>
            <w:tcW w:w="724" w:type="pct"/>
            <w:tcBorders>
              <w:top w:val="nil"/>
              <w:left w:val="nil"/>
              <w:bottom w:val="single" w:sz="4"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-3,9</w:t>
            </w:r>
          </w:p>
        </w:tc>
        <w:tc>
          <w:tcPr>
            <w:tcW w:w="686" w:type="pct"/>
            <w:tcBorders>
              <w:top w:val="nil"/>
              <w:left w:val="nil"/>
              <w:bottom w:val="single" w:sz="4"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-2,3</w:t>
            </w:r>
          </w:p>
        </w:tc>
      </w:tr>
      <w:tr w:rsidR="001E7FF5" w:rsidRPr="00377C39" w:rsidTr="00214499">
        <w:trPr>
          <w:trHeight w:val="615"/>
        </w:trPr>
        <w:tc>
          <w:tcPr>
            <w:tcW w:w="2307" w:type="pct"/>
            <w:tcBorders>
              <w:top w:val="nil"/>
              <w:left w:val="single" w:sz="8" w:space="0" w:color="auto"/>
              <w:bottom w:val="single" w:sz="8" w:space="0" w:color="auto"/>
              <w:right w:val="single" w:sz="4" w:space="0" w:color="auto"/>
            </w:tcBorders>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Изменение валютных резервов ('+' -снижение, '-' -рост)</w:t>
            </w:r>
          </w:p>
        </w:tc>
        <w:tc>
          <w:tcPr>
            <w:tcW w:w="647" w:type="pct"/>
            <w:tcBorders>
              <w:top w:val="nil"/>
              <w:left w:val="nil"/>
              <w:bottom w:val="single" w:sz="8"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-36,8</w:t>
            </w:r>
          </w:p>
        </w:tc>
        <w:tc>
          <w:tcPr>
            <w:tcW w:w="637" w:type="pct"/>
            <w:tcBorders>
              <w:top w:val="nil"/>
              <w:left w:val="nil"/>
              <w:bottom w:val="single" w:sz="8"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-3,4</w:t>
            </w:r>
          </w:p>
        </w:tc>
        <w:tc>
          <w:tcPr>
            <w:tcW w:w="724" w:type="pct"/>
            <w:tcBorders>
              <w:top w:val="nil"/>
              <w:left w:val="nil"/>
              <w:bottom w:val="single" w:sz="8" w:space="0" w:color="auto"/>
              <w:right w:val="single" w:sz="4"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-45,4</w:t>
            </w:r>
          </w:p>
        </w:tc>
        <w:tc>
          <w:tcPr>
            <w:tcW w:w="686" w:type="pct"/>
            <w:tcBorders>
              <w:top w:val="nil"/>
              <w:left w:val="nil"/>
              <w:bottom w:val="single" w:sz="8" w:space="0" w:color="auto"/>
              <w:right w:val="single" w:sz="8" w:space="0" w:color="auto"/>
            </w:tcBorders>
            <w:noWrap/>
            <w:vAlign w:val="center"/>
            <w:hideMark/>
          </w:tcPr>
          <w:p w:rsidR="00344D62" w:rsidRPr="00377C39" w:rsidRDefault="00344D62" w:rsidP="00377C39">
            <w:pPr>
              <w:widowControl w:val="0"/>
              <w:spacing w:after="0" w:line="360" w:lineRule="auto"/>
              <w:jc w:val="both"/>
              <w:rPr>
                <w:rFonts w:ascii="Times New Roman" w:hAnsi="Times New Roman"/>
                <w:sz w:val="20"/>
                <w:szCs w:val="20"/>
                <w:lang w:eastAsia="ru-RU"/>
              </w:rPr>
            </w:pPr>
            <w:r w:rsidRPr="00377C39">
              <w:rPr>
                <w:rFonts w:ascii="Times New Roman" w:hAnsi="Times New Roman"/>
                <w:sz w:val="20"/>
                <w:szCs w:val="20"/>
                <w:lang w:eastAsia="ru-RU"/>
              </w:rPr>
              <w:t>25,4</w:t>
            </w:r>
          </w:p>
        </w:tc>
      </w:tr>
    </w:tbl>
    <w:p w:rsidR="003770A3" w:rsidRPr="00377C39" w:rsidRDefault="003770A3" w:rsidP="00377C39">
      <w:pPr>
        <w:pStyle w:val="a5"/>
        <w:widowControl w:val="0"/>
        <w:spacing w:after="0" w:line="360" w:lineRule="auto"/>
        <w:ind w:left="0" w:firstLine="709"/>
        <w:jc w:val="both"/>
        <w:rPr>
          <w:rFonts w:ascii="Times New Roman" w:hAnsi="Times New Roman"/>
          <w:sz w:val="28"/>
          <w:szCs w:val="28"/>
        </w:rPr>
      </w:pPr>
    </w:p>
    <w:p w:rsidR="001E7FF5" w:rsidRPr="00377C39" w:rsidRDefault="001E7FF5"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Оценка внешнего платежного баланса РФ фиксирует положительное сальдо его текущего счета (валютная выручка за чистый экспорт и неторговые операции) в объеме $72,6 млрд в 2010 году. Это на 46% больше, чем в 2009 году, и на 30% меньше, чем в 2008 году. Положительное торговое сальдо платежного баланса ЦБ в 2010 году оценивает в $149,2 млрд. Его объем превысил показатель 2007 года на 14%, но оказался на 17% меньше абсолютного максимума, зарегистрированного в 2008 году. Экспорт оценивается в $398 млрд, что все еще на 15,6% меньше уровня 2008 года, а импорт — в $248,8 млрд, что меньше, чем в 2008 году, на 14,8%. </w:t>
      </w:r>
    </w:p>
    <w:p w:rsidR="001E7FF5" w:rsidRPr="00377C39" w:rsidRDefault="001E7FF5"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На фоне роста среднемесячных цен на нефть с $77 за баррель в сентябре 2010 года до $89 в декабре 2010 года и восстановления экспорта газа профицит текущего счета в четвертом квартале 2010 года ($14,3 млрд) по сравнению с четвертым кварталом 2009 года сократился на 15%. </w:t>
      </w:r>
      <w:r w:rsidR="0047737A" w:rsidRPr="00377C39">
        <w:rPr>
          <w:rFonts w:ascii="Times New Roman" w:hAnsi="Times New Roman"/>
          <w:sz w:val="28"/>
          <w:szCs w:val="28"/>
        </w:rPr>
        <w:t>О</w:t>
      </w:r>
      <w:r w:rsidRPr="00377C39">
        <w:rPr>
          <w:rFonts w:ascii="Times New Roman" w:hAnsi="Times New Roman"/>
          <w:sz w:val="28"/>
          <w:szCs w:val="28"/>
        </w:rPr>
        <w:t xml:space="preserve">сновной причиной его сокращения оказалось сокращение инвестиционных доходов на $9 млрд. При этом импорт в годовом выражении продолжал расти быстрее экспорта (27% против 16% соответственно), хотя по сравнению с третьим кварталом темпы его роста замедлились на 12,5%, а положительное сальдо торговли в четвертом квартале в годовом выражении сократилось на 3% — до $34,3 млрд. </w:t>
      </w:r>
    </w:p>
    <w:p w:rsidR="00214499" w:rsidRDefault="00214499">
      <w:pPr>
        <w:rPr>
          <w:rFonts w:ascii="Times New Roman" w:hAnsi="Times New Roman"/>
          <w:sz w:val="28"/>
          <w:szCs w:val="32"/>
        </w:rPr>
      </w:pPr>
      <w:r>
        <w:rPr>
          <w:rFonts w:ascii="Times New Roman" w:hAnsi="Times New Roman"/>
          <w:sz w:val="28"/>
          <w:szCs w:val="32"/>
        </w:rPr>
        <w:br w:type="page"/>
      </w:r>
    </w:p>
    <w:p w:rsidR="002D5271" w:rsidRPr="00377C39" w:rsidRDefault="00B36778"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Иностранные инвестиции (приток и отток по странам и отраслям)</w:t>
      </w:r>
    </w:p>
    <w:p w:rsidR="00214499" w:rsidRDefault="00214499" w:rsidP="00377C39">
      <w:pPr>
        <w:pStyle w:val="a5"/>
        <w:widowControl w:val="0"/>
        <w:spacing w:after="0" w:line="360" w:lineRule="auto"/>
        <w:ind w:left="0" w:firstLine="709"/>
        <w:jc w:val="both"/>
        <w:rPr>
          <w:rFonts w:ascii="Times New Roman" w:hAnsi="Times New Roman"/>
          <w:sz w:val="28"/>
          <w:szCs w:val="28"/>
        </w:rPr>
      </w:pPr>
    </w:p>
    <w:p w:rsidR="00214499" w:rsidRDefault="003075EC" w:rsidP="00377C39">
      <w:pPr>
        <w:pStyle w:val="a5"/>
        <w:widowControl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30" type="#_x0000_t75" alt="Описание: C:\Documents and Settings\User5\Рабочий стол\Новая папка\Инвестиц.JPG" style="width:285.75pt;height:234.75pt;visibility:visible">
            <v:imagedata r:id="rId12" o:title="Инвестиц"/>
          </v:shape>
        </w:pict>
      </w:r>
    </w:p>
    <w:p w:rsidR="00214499" w:rsidRDefault="00214499" w:rsidP="00377C39">
      <w:pPr>
        <w:pStyle w:val="a5"/>
        <w:widowControl w:val="0"/>
        <w:spacing w:after="0" w:line="360" w:lineRule="auto"/>
        <w:ind w:left="0" w:firstLine="709"/>
        <w:jc w:val="both"/>
        <w:rPr>
          <w:rFonts w:ascii="Times New Roman" w:hAnsi="Times New Roman"/>
          <w:sz w:val="28"/>
          <w:szCs w:val="28"/>
        </w:rPr>
      </w:pPr>
    </w:p>
    <w:p w:rsidR="00165A4A" w:rsidRPr="00377C39" w:rsidRDefault="002D5271"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 xml:space="preserve">В целом по 2010 году ЦБ оценивает дефицит финансового счета в $30,5 млрд. </w:t>
      </w:r>
      <w:r w:rsidR="00FE0D37" w:rsidRPr="00377C39">
        <w:rPr>
          <w:rFonts w:ascii="Times New Roman" w:hAnsi="Times New Roman"/>
          <w:sz w:val="28"/>
          <w:szCs w:val="28"/>
        </w:rPr>
        <w:t>Наибольший удельный вес в накопленном иностранном капитале приходился на прочие инвестиции, осуществляемые на возвратной основе — 58,3% (на конец 2009 года — 55,5%), доля прямых инвестиций составила 38,7% (40,7%), портфельных — 3% (3,8%).</w:t>
      </w:r>
      <w:r w:rsidR="00165A4A" w:rsidRPr="00377C39">
        <w:rPr>
          <w:rFonts w:ascii="Times New Roman" w:hAnsi="Times New Roman"/>
          <w:sz w:val="28"/>
          <w:szCs w:val="28"/>
        </w:rPr>
        <w:t xml:space="preserve"> </w:t>
      </w:r>
    </w:p>
    <w:p w:rsidR="002D5271" w:rsidRPr="00377C39" w:rsidRDefault="002D5271"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 данным Росстата, прямые иностранные инвестиции в Россию в прошлом году составили 13,8 миллиарда долларов, что даже меньше кризисных 15,9 миллиарда 2009 года. Прямые иностранные инвестиции являются лучшим из имеющихся показателей притока или оттока долгосрочных инвестиций в Россию. В этом смысле 2010 год был для российской экономики провальным. 2010 год должен был продемонстрировать, в какой степени посткризисная экономика России привлекательна для инвесторов в ситуации, которая, как предполагается, будет продолжаться в течение многих лет, - при относительно дорогой нефти, медленных институциональных реформах и темпах роста ВВП 3-4 процента в год.</w:t>
      </w:r>
    </w:p>
    <w:p w:rsidR="00FE0D37" w:rsidRPr="00377C39" w:rsidRDefault="002D5271"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w:t>
      </w:r>
      <w:r w:rsidR="00B36778" w:rsidRPr="00377C39">
        <w:rPr>
          <w:rFonts w:ascii="Times New Roman" w:hAnsi="Times New Roman"/>
          <w:sz w:val="28"/>
          <w:szCs w:val="28"/>
        </w:rPr>
        <w:t>рямые иностранные инвестиции в нефинансовый сектор РФ по сравнению с 2009 годом сократились на $1,7 млрд — до $28,6 млрд, а инвестиции российских компаний за границу составили $41,9 млрд, что всего на $3 млрд меньше, чем в 2009 году. На негативное восприятие РФ со стороны инвесторов указывает и тот факт, что статья "своевременно неполученная экспортная выручка" финансового счета, которую по содержанию принято относить к бегству капитала, в 2010 году составила $28,9 млрд — это на $1,8 млрд больше, чем в 2009 году. В дополнение к этому по статье "чистые ошибки и пропуски" платежного баланса из РФ "убежало" еще $5,4 млрд, что на $3,4 млрд больше, чем в 2009 году.</w:t>
      </w:r>
    </w:p>
    <w:p w:rsidR="00FE0D37" w:rsidRPr="00377C39" w:rsidRDefault="00FE0D37"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Объем погашенных инвестиций, поступивших ранее в Россию из-за рубежа, составил в 2010 году $120,8 млрд, или на 57,6% больше, чем в 2009 году.</w:t>
      </w:r>
    </w:p>
    <w:p w:rsidR="00FE0D37" w:rsidRPr="00377C39" w:rsidRDefault="00FE0D37"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Крупнейшими иностранными инвесторами России являются Кипр, Нидерланды и Люксембург, на долю которых приходится соответственно 20,7%, 13,5% и 11,7% всех накопленных инвестиций в страну. В первую десятку крупнейших инвесторов входят далее Китай (9,3%), Германия (9,3%), Великобритания (7,2%), Ирландия (3,8%), Франция (3,4%), Япония (3%), Виргинские острова (2,5%).</w:t>
      </w:r>
    </w:p>
    <w:p w:rsidR="00FE0D37" w:rsidRPr="00377C39" w:rsidRDefault="00165A4A"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w:t>
      </w:r>
      <w:r w:rsidR="00FE0D37" w:rsidRPr="00377C39">
        <w:rPr>
          <w:rFonts w:ascii="Times New Roman" w:hAnsi="Times New Roman"/>
          <w:sz w:val="28"/>
          <w:szCs w:val="28"/>
        </w:rPr>
        <w:t>бъем инвестиций из России, накопленных за рубежом, на конец 2010 года составил $82 млрд. В прошлом году из РФ за рубеж было направлено $96,2 млрд иностранных инвестиций, или на 16,1% больше, чем в 2009 году.</w:t>
      </w:r>
    </w:p>
    <w:p w:rsidR="002D5271" w:rsidRPr="00377C39" w:rsidRDefault="00FE0D37"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Объем погашенных инвестиций, направленных ранее из России за рубеж, составил $90,9 млрд, или на 19,3% больше, чем в 2009 году.</w:t>
      </w:r>
    </w:p>
    <w:p w:rsidR="002D5271" w:rsidRPr="00377C39" w:rsidRDefault="002D5271"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январе</w:t>
      </w:r>
      <w:r w:rsidR="00165A4A" w:rsidRPr="00377C39">
        <w:rPr>
          <w:rFonts w:ascii="Times New Roman" w:hAnsi="Times New Roman"/>
          <w:sz w:val="28"/>
          <w:szCs w:val="28"/>
        </w:rPr>
        <w:t xml:space="preserve"> 2011</w:t>
      </w:r>
      <w:r w:rsidRPr="00377C39">
        <w:rPr>
          <w:rFonts w:ascii="Times New Roman" w:hAnsi="Times New Roman"/>
          <w:sz w:val="28"/>
          <w:szCs w:val="28"/>
        </w:rPr>
        <w:t xml:space="preserve"> Россия вошла в число десяти самых опасных стран мира для инвестиций. Россия занимает десятую строку рейтинга, подготовленного независимой компанией Maplecroft, и входит в число стран с "чрезвычайно высокими" политическими рисками и самой нестабильной бизнес-средой. Первое место списка занимает Сомали, за ней следует Демократическая Республика Конго и Судан. Непосредственно перед Россией в рейтинге идут Пакистан и КНДР.</w:t>
      </w:r>
    </w:p>
    <w:p w:rsidR="00165A4A" w:rsidRPr="00377C39" w:rsidRDefault="00211F81"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Международная миграц</w:t>
      </w:r>
      <w:r w:rsidR="00214499">
        <w:rPr>
          <w:rFonts w:ascii="Times New Roman" w:hAnsi="Times New Roman"/>
          <w:sz w:val="28"/>
          <w:szCs w:val="32"/>
        </w:rPr>
        <w:t>ия населения (статистика)</w:t>
      </w:r>
    </w:p>
    <w:p w:rsidR="00214499" w:rsidRDefault="00214499" w:rsidP="00377C39">
      <w:pPr>
        <w:pStyle w:val="a5"/>
        <w:widowControl w:val="0"/>
        <w:spacing w:after="0" w:line="360" w:lineRule="auto"/>
        <w:ind w:left="0" w:firstLine="709"/>
        <w:jc w:val="both"/>
        <w:rPr>
          <w:rFonts w:ascii="Times New Roman" w:hAnsi="Times New Roman"/>
          <w:sz w:val="28"/>
          <w:szCs w:val="28"/>
        </w:rPr>
      </w:pP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прошлом году (2010) количество иностранцев, въехавших в страну, составило более 13,6 миллионов, как и прежде в основном из государств — участников СНГ (Украины, Узбекистана, Казахстана).</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 данным ФМС, постоянная миграция, влияющая на демографию, по сравнению с 2009 годом, снизилась. Миграционный прирост за период 11 месяцев 2010 года лишь на 64% компенсировал естественную убыль населения.</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Количество оформленных разрешений на работу в прошлом году сократилось на 17% по отношению к 2009 году и составило 1,2 миллиона. Установленная для регионов квота была исчерпана на 76%.</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В отношении 29 тысяч иностранцев-правонарушителей вынесены судебные решения об административном выдворении за пределы Российской Федерации.</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Было оформлено почти 157 тысяч патентов (система патентов введена с 1 июля). Нововведение принесло в бюджет более 330 миллионов рублей.</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 данным ФМС, наибольшее количество патентов оформлено в Центральном федеральном округе (38% от общего количества иностранных граждан), далее следует Сибирский (15%) и Приволжский федеральные округа (13%). Меньше всего оформлено патентов на Дальнем Востоке (6%) и Северном Кавказе (2%).</w:t>
      </w:r>
    </w:p>
    <w:p w:rsidR="008E255B" w:rsidRPr="00377C39"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По официальной статистике, больше всего патенты оформляли граждане Узбекистана — (45% от общего количества иностранных граждан), Таджи</w:t>
      </w:r>
      <w:r w:rsidR="00191468" w:rsidRPr="00377C39">
        <w:rPr>
          <w:rFonts w:ascii="Times New Roman" w:hAnsi="Times New Roman"/>
          <w:sz w:val="28"/>
          <w:szCs w:val="28"/>
        </w:rPr>
        <w:t>кистана (20%) и Киргизии (11%).</w:t>
      </w:r>
    </w:p>
    <w:p w:rsidR="002D5271" w:rsidRDefault="008E255B" w:rsidP="00377C39">
      <w:pPr>
        <w:pStyle w:val="a5"/>
        <w:widowControl w:val="0"/>
        <w:spacing w:after="0" w:line="360" w:lineRule="auto"/>
        <w:ind w:left="0" w:firstLine="709"/>
        <w:jc w:val="both"/>
        <w:rPr>
          <w:rFonts w:ascii="Times New Roman" w:hAnsi="Times New Roman"/>
          <w:sz w:val="28"/>
          <w:szCs w:val="28"/>
        </w:rPr>
      </w:pPr>
      <w:r w:rsidRPr="00377C39">
        <w:rPr>
          <w:rFonts w:ascii="Times New Roman" w:hAnsi="Times New Roman"/>
          <w:sz w:val="28"/>
          <w:szCs w:val="28"/>
        </w:rPr>
        <w:t>За шесть месяцев 2010 года было оформлено более 3 тысяч разрешений на работу для высококвалифицированных иностранных специалистов, среди которых представители ведущих мировых компаний и международных финансовых институтов («Нестле», «Пежо», «Ситроен», «Проектер энд Гэмбл», «Нокиа Сименс Нетворкс», «Майкрософт», «Пирелли», «ИКЕА», «Баер», «Фольксваген», «Шел», «Голдман Сакс» и «Ю Би Эс Банк»).</w:t>
      </w:r>
    </w:p>
    <w:p w:rsidR="00214499" w:rsidRPr="00377C39" w:rsidRDefault="00214499" w:rsidP="00377C39">
      <w:pPr>
        <w:pStyle w:val="a5"/>
        <w:widowControl w:val="0"/>
        <w:spacing w:after="0" w:line="360" w:lineRule="auto"/>
        <w:ind w:left="0" w:firstLine="709"/>
        <w:jc w:val="both"/>
        <w:rPr>
          <w:rFonts w:ascii="Times New Roman" w:hAnsi="Times New Roman"/>
          <w:sz w:val="28"/>
          <w:szCs w:val="28"/>
        </w:rPr>
      </w:pPr>
    </w:p>
    <w:p w:rsidR="00454AA8" w:rsidRPr="00377C39" w:rsidRDefault="00454AA8" w:rsidP="00377C39">
      <w:pPr>
        <w:pStyle w:val="a5"/>
        <w:widowControl w:val="0"/>
        <w:numPr>
          <w:ilvl w:val="0"/>
          <w:numId w:val="4"/>
        </w:numPr>
        <w:spacing w:after="0" w:line="360" w:lineRule="auto"/>
        <w:ind w:left="0" w:firstLine="709"/>
        <w:jc w:val="both"/>
        <w:rPr>
          <w:rFonts w:ascii="Times New Roman" w:hAnsi="Times New Roman"/>
          <w:sz w:val="28"/>
          <w:szCs w:val="32"/>
        </w:rPr>
      </w:pPr>
      <w:r w:rsidRPr="00377C39">
        <w:rPr>
          <w:rFonts w:ascii="Times New Roman" w:hAnsi="Times New Roman"/>
          <w:sz w:val="28"/>
          <w:szCs w:val="32"/>
        </w:rPr>
        <w:t>Международная торговля технологиями</w:t>
      </w:r>
    </w:p>
    <w:p w:rsidR="00214499" w:rsidRDefault="00214499" w:rsidP="00377C39">
      <w:pPr>
        <w:widowControl w:val="0"/>
        <w:spacing w:after="0" w:line="360" w:lineRule="auto"/>
        <w:ind w:firstLine="709"/>
        <w:jc w:val="both"/>
        <w:rPr>
          <w:rFonts w:ascii="Times New Roman" w:hAnsi="Times New Roman"/>
          <w:sz w:val="28"/>
          <w:szCs w:val="28"/>
        </w:rPr>
      </w:pPr>
    </w:p>
    <w:p w:rsidR="00CF3BE3" w:rsidRPr="00377C39" w:rsidRDefault="00CF3BE3"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Россия экспортирует высокотехнологичные товары и гражданского назначения. Так, в I полугодии 2010 года на экспорт было поставлено средств вычислительной техники на 47 млн долл., оптических, измерительных, медицинских и т.п. инструментов и приборов - на 545 млн долл., станков для обработки металлов - на 56 млн долл., двигателей турбореактивных и турбовинтовых - на 507 млн долл., оборудования и комплектующих для АЭС - на 757 млн долларов.</w:t>
      </w:r>
    </w:p>
    <w:p w:rsidR="00454AA8" w:rsidRPr="00377C39" w:rsidRDefault="00454AA8"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Если к данной категории товаров отнести современные виды боевой техники и оружия, в том числе и высокоточного, по экспорту которых Россия находится в числе мировых лидеров, то тогда можно говорить и о росте экспорта таких товаров.</w:t>
      </w:r>
    </w:p>
    <w:p w:rsidR="003770A3" w:rsidRPr="00377C39" w:rsidRDefault="003770A3" w:rsidP="00377C39">
      <w:pPr>
        <w:widowControl w:val="0"/>
        <w:spacing w:after="0" w:line="360" w:lineRule="auto"/>
        <w:ind w:firstLine="709"/>
        <w:jc w:val="both"/>
        <w:rPr>
          <w:rFonts w:ascii="Times New Roman" w:hAnsi="Times New Roman"/>
          <w:sz w:val="28"/>
          <w:szCs w:val="28"/>
        </w:rPr>
      </w:pPr>
    </w:p>
    <w:p w:rsidR="00214499" w:rsidRDefault="00214499">
      <w:pPr>
        <w:rPr>
          <w:rFonts w:ascii="Times New Roman" w:hAnsi="Times New Roman"/>
          <w:sz w:val="28"/>
          <w:szCs w:val="32"/>
        </w:rPr>
      </w:pPr>
      <w:r>
        <w:rPr>
          <w:rFonts w:ascii="Times New Roman" w:hAnsi="Times New Roman"/>
          <w:sz w:val="28"/>
          <w:szCs w:val="32"/>
        </w:rPr>
        <w:br w:type="page"/>
      </w:r>
    </w:p>
    <w:p w:rsidR="00630CF7" w:rsidRPr="00377C39" w:rsidRDefault="00630CF7" w:rsidP="00377C39">
      <w:pPr>
        <w:widowControl w:val="0"/>
        <w:spacing w:after="0" w:line="360" w:lineRule="auto"/>
        <w:ind w:firstLine="709"/>
        <w:jc w:val="both"/>
        <w:rPr>
          <w:rFonts w:ascii="Times New Roman" w:hAnsi="Times New Roman"/>
          <w:sz w:val="28"/>
          <w:szCs w:val="32"/>
        </w:rPr>
      </w:pPr>
      <w:r w:rsidRPr="00377C39">
        <w:rPr>
          <w:rFonts w:ascii="Times New Roman" w:hAnsi="Times New Roman"/>
          <w:sz w:val="28"/>
          <w:szCs w:val="32"/>
        </w:rPr>
        <w:t>Заключение</w:t>
      </w:r>
    </w:p>
    <w:p w:rsidR="00214499" w:rsidRDefault="00214499" w:rsidP="00377C39">
      <w:pPr>
        <w:widowControl w:val="0"/>
        <w:spacing w:after="0" w:line="360" w:lineRule="auto"/>
        <w:ind w:firstLine="709"/>
        <w:jc w:val="both"/>
        <w:rPr>
          <w:rFonts w:ascii="Times New Roman" w:hAnsi="Times New Roman"/>
          <w:sz w:val="28"/>
          <w:szCs w:val="28"/>
        </w:rPr>
      </w:pPr>
    </w:p>
    <w:p w:rsidR="00630CF7" w:rsidRPr="00377C39" w:rsidRDefault="00630CF7"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У России есть все необходимые предпосылки для достижения уровня внешней торговли, который соответствует ее потенциалу, то есть емкий внутренний рынок, сырьевые ресурсы, способность удовлетворить не только внутренние нужды, но и потребность крупнейших стран мира, достаточно высокий технический уровень по ряду отраслей промышленности (авиастроение, космические технологии, энергетическое машиностроение и другие).</w:t>
      </w:r>
    </w:p>
    <w:p w:rsidR="00630CF7" w:rsidRPr="00377C39" w:rsidRDefault="00630CF7"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Во внешней торговле особое значение должно предаваться созданию благоприятных условий для привлечения иностранных инвестиций. Наша страна должна принимать меры, чтобы стать более предсказуемой для внешнего инвестирования.</w:t>
      </w:r>
    </w:p>
    <w:p w:rsidR="00630CF7" w:rsidRPr="00377C39" w:rsidRDefault="00630CF7"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В области экспорта приоритетным направлением должна стать поддержка высокотехнологичного и наукоемкого экспорта.</w:t>
      </w:r>
    </w:p>
    <w:p w:rsidR="00630CF7" w:rsidRPr="00377C39" w:rsidRDefault="00630CF7"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Регулирование импорта должно осуществятся только тарифными методами с постепенной либерализацией. Нужно уменьшить зависимость страны от импортного продовольствия, то есть увеличить производство АПК России.</w:t>
      </w:r>
      <w:r w:rsidR="00214499">
        <w:rPr>
          <w:rFonts w:ascii="Times New Roman" w:hAnsi="Times New Roman"/>
          <w:sz w:val="28"/>
          <w:szCs w:val="28"/>
        </w:rPr>
        <w:t xml:space="preserve"> </w:t>
      </w:r>
      <w:r w:rsidRPr="00377C39">
        <w:rPr>
          <w:rFonts w:ascii="Times New Roman" w:hAnsi="Times New Roman"/>
          <w:sz w:val="28"/>
          <w:szCs w:val="28"/>
        </w:rPr>
        <w:t>Кроме этого, Россия должна получить доступ к механизму урегулирования торговых споров. Хотя он и не идеален, но дает возможность не только оспаривать и отменять необоснованные ограничения, во и играет важную роль, удерживания страны от произвольных односторонних действий.</w:t>
      </w:r>
    </w:p>
    <w:p w:rsidR="00630CF7" w:rsidRDefault="00630CF7" w:rsidP="00377C39">
      <w:pPr>
        <w:widowControl w:val="0"/>
        <w:spacing w:after="0" w:line="360" w:lineRule="auto"/>
        <w:ind w:firstLine="709"/>
        <w:jc w:val="both"/>
        <w:rPr>
          <w:rFonts w:ascii="Times New Roman" w:hAnsi="Times New Roman"/>
          <w:sz w:val="28"/>
          <w:szCs w:val="28"/>
        </w:rPr>
      </w:pPr>
      <w:r w:rsidRPr="00377C39">
        <w:rPr>
          <w:rFonts w:ascii="Times New Roman" w:hAnsi="Times New Roman"/>
          <w:sz w:val="28"/>
          <w:szCs w:val="28"/>
        </w:rPr>
        <w:t>Россия должна стать членом Всемирной Торговой Организации (ВТО), чтобы получить возможность продвижения своих интересов через участие в качестве полноправного партнера, в формировании международного торгового режима, который охватывает все новые сферы и в перспективе может распространиться так же на взаимосвязь торговли и экологии, социальные стандарты, электронную торговлю.</w:t>
      </w:r>
    </w:p>
    <w:p w:rsidR="00214499" w:rsidRPr="00F825FC" w:rsidRDefault="00214499" w:rsidP="00377C39">
      <w:pPr>
        <w:widowControl w:val="0"/>
        <w:spacing w:after="0" w:line="360" w:lineRule="auto"/>
        <w:ind w:firstLine="709"/>
        <w:jc w:val="both"/>
        <w:rPr>
          <w:rFonts w:ascii="Times New Roman" w:hAnsi="Times New Roman"/>
          <w:color w:val="FFFFFF"/>
          <w:sz w:val="28"/>
          <w:szCs w:val="28"/>
        </w:rPr>
      </w:pPr>
      <w:bookmarkStart w:id="0" w:name="_GoBack"/>
      <w:bookmarkEnd w:id="0"/>
    </w:p>
    <w:sectPr w:rsidR="00214499" w:rsidRPr="00F825FC" w:rsidSect="00377C39">
      <w:headerReference w:type="default" r:id="rId1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7C" w:rsidRDefault="0024787C" w:rsidP="00462F9D">
      <w:pPr>
        <w:spacing w:after="0" w:line="240" w:lineRule="auto"/>
      </w:pPr>
      <w:r>
        <w:separator/>
      </w:r>
    </w:p>
  </w:endnote>
  <w:endnote w:type="continuationSeparator" w:id="0">
    <w:p w:rsidR="0024787C" w:rsidRDefault="0024787C" w:rsidP="0046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7C" w:rsidRDefault="0024787C" w:rsidP="00462F9D">
      <w:pPr>
        <w:spacing w:after="0" w:line="240" w:lineRule="auto"/>
      </w:pPr>
      <w:r>
        <w:separator/>
      </w:r>
    </w:p>
  </w:footnote>
  <w:footnote w:type="continuationSeparator" w:id="0">
    <w:p w:rsidR="0024787C" w:rsidRDefault="0024787C" w:rsidP="0046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499" w:rsidRPr="00214499" w:rsidRDefault="00214499" w:rsidP="00214499">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D2E"/>
    <w:multiLevelType w:val="hybridMultilevel"/>
    <w:tmpl w:val="F31AF012"/>
    <w:lvl w:ilvl="0" w:tplc="04190001">
      <w:start w:val="1"/>
      <w:numFmt w:val="bullet"/>
      <w:lvlText w:val=""/>
      <w:lvlJc w:val="left"/>
      <w:pPr>
        <w:ind w:left="711" w:hanging="360"/>
      </w:pPr>
      <w:rPr>
        <w:rFonts w:ascii="Symbol" w:hAnsi="Symbol" w:hint="default"/>
      </w:rPr>
    </w:lvl>
    <w:lvl w:ilvl="1" w:tplc="04190003" w:tentative="1">
      <w:start w:val="1"/>
      <w:numFmt w:val="bullet"/>
      <w:lvlText w:val="o"/>
      <w:lvlJc w:val="left"/>
      <w:pPr>
        <w:ind w:left="1431" w:hanging="360"/>
      </w:pPr>
      <w:rPr>
        <w:rFonts w:ascii="Courier New" w:hAnsi="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1">
    <w:nsid w:val="270B12B9"/>
    <w:multiLevelType w:val="hybridMultilevel"/>
    <w:tmpl w:val="2C16A7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B3E1CD6"/>
    <w:multiLevelType w:val="hybridMultilevel"/>
    <w:tmpl w:val="D50E1C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3F17451"/>
    <w:multiLevelType w:val="hybridMultilevel"/>
    <w:tmpl w:val="54E077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A753F8A"/>
    <w:multiLevelType w:val="hybridMultilevel"/>
    <w:tmpl w:val="B74C67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5036663C"/>
    <w:multiLevelType w:val="hybridMultilevel"/>
    <w:tmpl w:val="9476E270"/>
    <w:lvl w:ilvl="0" w:tplc="0419000F">
      <w:start w:val="1"/>
      <w:numFmt w:val="decimal"/>
      <w:lvlText w:val="%1."/>
      <w:lvlJc w:val="left"/>
      <w:pPr>
        <w:ind w:left="363" w:hanging="360"/>
      </w:pPr>
      <w:rPr>
        <w:rFonts w:cs="Times New Roman"/>
      </w:rPr>
    </w:lvl>
    <w:lvl w:ilvl="1" w:tplc="04190019" w:tentative="1">
      <w:start w:val="1"/>
      <w:numFmt w:val="lowerLetter"/>
      <w:lvlText w:val="%2."/>
      <w:lvlJc w:val="left"/>
      <w:pPr>
        <w:ind w:left="1083" w:hanging="360"/>
      </w:pPr>
      <w:rPr>
        <w:rFonts w:cs="Times New Roman"/>
      </w:rPr>
    </w:lvl>
    <w:lvl w:ilvl="2" w:tplc="0419001B" w:tentative="1">
      <w:start w:val="1"/>
      <w:numFmt w:val="lowerRoman"/>
      <w:lvlText w:val="%3."/>
      <w:lvlJc w:val="right"/>
      <w:pPr>
        <w:ind w:left="1803" w:hanging="180"/>
      </w:pPr>
      <w:rPr>
        <w:rFonts w:cs="Times New Roman"/>
      </w:rPr>
    </w:lvl>
    <w:lvl w:ilvl="3" w:tplc="0419000F" w:tentative="1">
      <w:start w:val="1"/>
      <w:numFmt w:val="decimal"/>
      <w:lvlText w:val="%4."/>
      <w:lvlJc w:val="left"/>
      <w:pPr>
        <w:ind w:left="2523" w:hanging="360"/>
      </w:pPr>
      <w:rPr>
        <w:rFonts w:cs="Times New Roman"/>
      </w:rPr>
    </w:lvl>
    <w:lvl w:ilvl="4" w:tplc="04190019" w:tentative="1">
      <w:start w:val="1"/>
      <w:numFmt w:val="lowerLetter"/>
      <w:lvlText w:val="%5."/>
      <w:lvlJc w:val="left"/>
      <w:pPr>
        <w:ind w:left="3243" w:hanging="360"/>
      </w:pPr>
      <w:rPr>
        <w:rFonts w:cs="Times New Roman"/>
      </w:rPr>
    </w:lvl>
    <w:lvl w:ilvl="5" w:tplc="0419001B" w:tentative="1">
      <w:start w:val="1"/>
      <w:numFmt w:val="lowerRoman"/>
      <w:lvlText w:val="%6."/>
      <w:lvlJc w:val="right"/>
      <w:pPr>
        <w:ind w:left="3963" w:hanging="180"/>
      </w:pPr>
      <w:rPr>
        <w:rFonts w:cs="Times New Roman"/>
      </w:rPr>
    </w:lvl>
    <w:lvl w:ilvl="6" w:tplc="0419000F" w:tentative="1">
      <w:start w:val="1"/>
      <w:numFmt w:val="decimal"/>
      <w:lvlText w:val="%7."/>
      <w:lvlJc w:val="left"/>
      <w:pPr>
        <w:ind w:left="4683" w:hanging="360"/>
      </w:pPr>
      <w:rPr>
        <w:rFonts w:cs="Times New Roman"/>
      </w:rPr>
    </w:lvl>
    <w:lvl w:ilvl="7" w:tplc="04190019" w:tentative="1">
      <w:start w:val="1"/>
      <w:numFmt w:val="lowerLetter"/>
      <w:lvlText w:val="%8."/>
      <w:lvlJc w:val="left"/>
      <w:pPr>
        <w:ind w:left="5403" w:hanging="360"/>
      </w:pPr>
      <w:rPr>
        <w:rFonts w:cs="Times New Roman"/>
      </w:rPr>
    </w:lvl>
    <w:lvl w:ilvl="8" w:tplc="0419001B" w:tentative="1">
      <w:start w:val="1"/>
      <w:numFmt w:val="lowerRoman"/>
      <w:lvlText w:val="%9."/>
      <w:lvlJc w:val="right"/>
      <w:pPr>
        <w:ind w:left="6123" w:hanging="180"/>
      </w:pPr>
      <w:rPr>
        <w:rFonts w:cs="Times New Roman"/>
      </w:rPr>
    </w:lvl>
  </w:abstractNum>
  <w:abstractNum w:abstractNumId="6">
    <w:nsid w:val="53F80BED"/>
    <w:multiLevelType w:val="hybridMultilevel"/>
    <w:tmpl w:val="8EEA2490"/>
    <w:lvl w:ilvl="0" w:tplc="04190001">
      <w:start w:val="1"/>
      <w:numFmt w:val="bullet"/>
      <w:lvlText w:val=""/>
      <w:lvlJc w:val="left"/>
      <w:pPr>
        <w:ind w:left="11352" w:hanging="360"/>
      </w:pPr>
      <w:rPr>
        <w:rFonts w:ascii="Symbol" w:hAnsi="Symbol" w:hint="default"/>
      </w:rPr>
    </w:lvl>
    <w:lvl w:ilvl="1" w:tplc="04190003" w:tentative="1">
      <w:start w:val="1"/>
      <w:numFmt w:val="bullet"/>
      <w:lvlText w:val="o"/>
      <w:lvlJc w:val="left"/>
      <w:pPr>
        <w:ind w:left="12072" w:hanging="360"/>
      </w:pPr>
      <w:rPr>
        <w:rFonts w:ascii="Courier New" w:hAnsi="Courier New" w:hint="default"/>
      </w:rPr>
    </w:lvl>
    <w:lvl w:ilvl="2" w:tplc="04190005" w:tentative="1">
      <w:start w:val="1"/>
      <w:numFmt w:val="bullet"/>
      <w:lvlText w:val=""/>
      <w:lvlJc w:val="left"/>
      <w:pPr>
        <w:ind w:left="12792" w:hanging="360"/>
      </w:pPr>
      <w:rPr>
        <w:rFonts w:ascii="Wingdings" w:hAnsi="Wingdings" w:hint="default"/>
      </w:rPr>
    </w:lvl>
    <w:lvl w:ilvl="3" w:tplc="04190001" w:tentative="1">
      <w:start w:val="1"/>
      <w:numFmt w:val="bullet"/>
      <w:lvlText w:val=""/>
      <w:lvlJc w:val="left"/>
      <w:pPr>
        <w:ind w:left="13512" w:hanging="360"/>
      </w:pPr>
      <w:rPr>
        <w:rFonts w:ascii="Symbol" w:hAnsi="Symbol" w:hint="default"/>
      </w:rPr>
    </w:lvl>
    <w:lvl w:ilvl="4" w:tplc="04190003" w:tentative="1">
      <w:start w:val="1"/>
      <w:numFmt w:val="bullet"/>
      <w:lvlText w:val="o"/>
      <w:lvlJc w:val="left"/>
      <w:pPr>
        <w:ind w:left="14232" w:hanging="360"/>
      </w:pPr>
      <w:rPr>
        <w:rFonts w:ascii="Courier New" w:hAnsi="Courier New" w:hint="default"/>
      </w:rPr>
    </w:lvl>
    <w:lvl w:ilvl="5" w:tplc="04190005" w:tentative="1">
      <w:start w:val="1"/>
      <w:numFmt w:val="bullet"/>
      <w:lvlText w:val=""/>
      <w:lvlJc w:val="left"/>
      <w:pPr>
        <w:ind w:left="14952" w:hanging="360"/>
      </w:pPr>
      <w:rPr>
        <w:rFonts w:ascii="Wingdings" w:hAnsi="Wingdings" w:hint="default"/>
      </w:rPr>
    </w:lvl>
    <w:lvl w:ilvl="6" w:tplc="04190001" w:tentative="1">
      <w:start w:val="1"/>
      <w:numFmt w:val="bullet"/>
      <w:lvlText w:val=""/>
      <w:lvlJc w:val="left"/>
      <w:pPr>
        <w:ind w:left="15672" w:hanging="360"/>
      </w:pPr>
      <w:rPr>
        <w:rFonts w:ascii="Symbol" w:hAnsi="Symbol" w:hint="default"/>
      </w:rPr>
    </w:lvl>
    <w:lvl w:ilvl="7" w:tplc="04190003" w:tentative="1">
      <w:start w:val="1"/>
      <w:numFmt w:val="bullet"/>
      <w:lvlText w:val="o"/>
      <w:lvlJc w:val="left"/>
      <w:pPr>
        <w:ind w:left="16392" w:hanging="360"/>
      </w:pPr>
      <w:rPr>
        <w:rFonts w:ascii="Courier New" w:hAnsi="Courier New" w:hint="default"/>
      </w:rPr>
    </w:lvl>
    <w:lvl w:ilvl="8" w:tplc="04190005" w:tentative="1">
      <w:start w:val="1"/>
      <w:numFmt w:val="bullet"/>
      <w:lvlText w:val=""/>
      <w:lvlJc w:val="left"/>
      <w:pPr>
        <w:ind w:left="17112" w:hanging="360"/>
      </w:pPr>
      <w:rPr>
        <w:rFonts w:ascii="Wingdings" w:hAnsi="Wingdings" w:hint="default"/>
      </w:rPr>
    </w:lvl>
  </w:abstractNum>
  <w:abstractNum w:abstractNumId="7">
    <w:nsid w:val="75133606"/>
    <w:multiLevelType w:val="hybridMultilevel"/>
    <w:tmpl w:val="1E8645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BD20B20"/>
    <w:multiLevelType w:val="hybridMultilevel"/>
    <w:tmpl w:val="A036D23A"/>
    <w:lvl w:ilvl="0" w:tplc="1812F18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EF43CA5"/>
    <w:multiLevelType w:val="hybridMultilevel"/>
    <w:tmpl w:val="95A8CD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9"/>
  </w:num>
  <w:num w:numId="4">
    <w:abstractNumId w:val="5"/>
  </w:num>
  <w:num w:numId="5">
    <w:abstractNumId w:val="3"/>
  </w:num>
  <w:num w:numId="6">
    <w:abstractNumId w:val="0"/>
  </w:num>
  <w:num w:numId="7">
    <w:abstractNumId w:val="8"/>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09C"/>
    <w:rsid w:val="00084335"/>
    <w:rsid w:val="000A424D"/>
    <w:rsid w:val="000D5B16"/>
    <w:rsid w:val="001015B5"/>
    <w:rsid w:val="00116D3B"/>
    <w:rsid w:val="0012060A"/>
    <w:rsid w:val="001454EB"/>
    <w:rsid w:val="00165A4A"/>
    <w:rsid w:val="00191468"/>
    <w:rsid w:val="00193BFF"/>
    <w:rsid w:val="001D3A76"/>
    <w:rsid w:val="001E7FF5"/>
    <w:rsid w:val="001F7B44"/>
    <w:rsid w:val="0020309C"/>
    <w:rsid w:val="00211F81"/>
    <w:rsid w:val="00214499"/>
    <w:rsid w:val="00220A22"/>
    <w:rsid w:val="00224CC1"/>
    <w:rsid w:val="00240433"/>
    <w:rsid w:val="0024787C"/>
    <w:rsid w:val="00252ACE"/>
    <w:rsid w:val="002B53F6"/>
    <w:rsid w:val="002C124C"/>
    <w:rsid w:val="002D5271"/>
    <w:rsid w:val="002F75E4"/>
    <w:rsid w:val="003075EC"/>
    <w:rsid w:val="0031215B"/>
    <w:rsid w:val="003134CD"/>
    <w:rsid w:val="00317E79"/>
    <w:rsid w:val="003319B3"/>
    <w:rsid w:val="00332559"/>
    <w:rsid w:val="00343606"/>
    <w:rsid w:val="00344D62"/>
    <w:rsid w:val="00345F25"/>
    <w:rsid w:val="003770A3"/>
    <w:rsid w:val="00377C39"/>
    <w:rsid w:val="003C53CE"/>
    <w:rsid w:val="003C691E"/>
    <w:rsid w:val="00454AA8"/>
    <w:rsid w:val="00462F9D"/>
    <w:rsid w:val="0047737A"/>
    <w:rsid w:val="004835A5"/>
    <w:rsid w:val="004B308E"/>
    <w:rsid w:val="004C2D2E"/>
    <w:rsid w:val="004E586A"/>
    <w:rsid w:val="004F03BD"/>
    <w:rsid w:val="00527754"/>
    <w:rsid w:val="005845C7"/>
    <w:rsid w:val="005B63CC"/>
    <w:rsid w:val="0061638A"/>
    <w:rsid w:val="00630CF7"/>
    <w:rsid w:val="00673A14"/>
    <w:rsid w:val="006E09D5"/>
    <w:rsid w:val="00731D65"/>
    <w:rsid w:val="00754922"/>
    <w:rsid w:val="00785C41"/>
    <w:rsid w:val="007A533A"/>
    <w:rsid w:val="007C5E09"/>
    <w:rsid w:val="007F347F"/>
    <w:rsid w:val="00804A10"/>
    <w:rsid w:val="00811F3D"/>
    <w:rsid w:val="008D6A48"/>
    <w:rsid w:val="008E255B"/>
    <w:rsid w:val="00915B14"/>
    <w:rsid w:val="00942226"/>
    <w:rsid w:val="009427B8"/>
    <w:rsid w:val="0096312F"/>
    <w:rsid w:val="009A5F8D"/>
    <w:rsid w:val="009D6C6F"/>
    <w:rsid w:val="00A06654"/>
    <w:rsid w:val="00A06CD7"/>
    <w:rsid w:val="00A31041"/>
    <w:rsid w:val="00AC626D"/>
    <w:rsid w:val="00AE2EA2"/>
    <w:rsid w:val="00B36778"/>
    <w:rsid w:val="00B60287"/>
    <w:rsid w:val="00C443A0"/>
    <w:rsid w:val="00C467F4"/>
    <w:rsid w:val="00C4753D"/>
    <w:rsid w:val="00C83138"/>
    <w:rsid w:val="00CB3ED3"/>
    <w:rsid w:val="00CB6F10"/>
    <w:rsid w:val="00CE4B61"/>
    <w:rsid w:val="00CF3BE3"/>
    <w:rsid w:val="00D6598A"/>
    <w:rsid w:val="00DA05AA"/>
    <w:rsid w:val="00DE385B"/>
    <w:rsid w:val="00DF2D83"/>
    <w:rsid w:val="00E20270"/>
    <w:rsid w:val="00E35327"/>
    <w:rsid w:val="00E66D54"/>
    <w:rsid w:val="00F41064"/>
    <w:rsid w:val="00F6353E"/>
    <w:rsid w:val="00F642B3"/>
    <w:rsid w:val="00F75234"/>
    <w:rsid w:val="00F825FC"/>
    <w:rsid w:val="00F8598F"/>
    <w:rsid w:val="00FC2C79"/>
    <w:rsid w:val="00FE0D37"/>
    <w:rsid w:val="00FE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806165E-44E4-4F83-A3B0-691B4452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3A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33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084335"/>
    <w:rPr>
      <w:rFonts w:ascii="Tahoma" w:hAnsi="Tahoma" w:cs="Tahoma"/>
      <w:sz w:val="16"/>
      <w:szCs w:val="16"/>
    </w:rPr>
  </w:style>
  <w:style w:type="paragraph" w:styleId="a5">
    <w:name w:val="List Paragraph"/>
    <w:basedOn w:val="a"/>
    <w:uiPriority w:val="34"/>
    <w:qFormat/>
    <w:rsid w:val="00462F9D"/>
    <w:pPr>
      <w:ind w:left="720"/>
      <w:contextualSpacing/>
    </w:pPr>
  </w:style>
  <w:style w:type="paragraph" w:styleId="a6">
    <w:name w:val="header"/>
    <w:basedOn w:val="a"/>
    <w:link w:val="a7"/>
    <w:uiPriority w:val="99"/>
    <w:unhideWhenUsed/>
    <w:rsid w:val="00462F9D"/>
    <w:pPr>
      <w:tabs>
        <w:tab w:val="center" w:pos="4677"/>
        <w:tab w:val="right" w:pos="9355"/>
      </w:tabs>
      <w:spacing w:after="0" w:line="240" w:lineRule="auto"/>
    </w:pPr>
  </w:style>
  <w:style w:type="character" w:customStyle="1" w:styleId="a7">
    <w:name w:val="Верхний колонтитул Знак"/>
    <w:link w:val="a6"/>
    <w:uiPriority w:val="99"/>
    <w:locked/>
    <w:rsid w:val="00462F9D"/>
    <w:rPr>
      <w:rFonts w:cs="Times New Roman"/>
    </w:rPr>
  </w:style>
  <w:style w:type="paragraph" w:styleId="a8">
    <w:name w:val="footer"/>
    <w:basedOn w:val="a"/>
    <w:link w:val="a9"/>
    <w:uiPriority w:val="99"/>
    <w:unhideWhenUsed/>
    <w:rsid w:val="00462F9D"/>
    <w:pPr>
      <w:tabs>
        <w:tab w:val="center" w:pos="4677"/>
        <w:tab w:val="right" w:pos="9355"/>
      </w:tabs>
      <w:spacing w:after="0" w:line="240" w:lineRule="auto"/>
    </w:pPr>
  </w:style>
  <w:style w:type="character" w:customStyle="1" w:styleId="a9">
    <w:name w:val="Нижний колонтитул Знак"/>
    <w:link w:val="a8"/>
    <w:uiPriority w:val="99"/>
    <w:locked/>
    <w:rsid w:val="00462F9D"/>
    <w:rPr>
      <w:rFonts w:cs="Times New Roman"/>
    </w:rPr>
  </w:style>
  <w:style w:type="paragraph" w:customStyle="1" w:styleId="2">
    <w:name w:val="сновной текст с отступом 2"/>
    <w:basedOn w:val="a"/>
    <w:rsid w:val="00CB6F10"/>
    <w:pPr>
      <w:widowControl w:val="0"/>
      <w:spacing w:after="0" w:line="240" w:lineRule="auto"/>
      <w:ind w:firstLine="720"/>
      <w:jc w:val="both"/>
    </w:pPr>
    <w:rPr>
      <w:rFonts w:ascii="Times New Roman" w:hAnsi="Times New Roman"/>
      <w:sz w:val="26"/>
      <w:szCs w:val="20"/>
      <w:lang w:eastAsia="ru-RU"/>
    </w:rPr>
  </w:style>
  <w:style w:type="table" w:styleId="aa">
    <w:name w:val="Table Grid"/>
    <w:basedOn w:val="a1"/>
    <w:uiPriority w:val="59"/>
    <w:rsid w:val="00DE385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1"/>
    <w:qFormat/>
    <w:rsid w:val="0061638A"/>
    <w:rPr>
      <w:rFonts w:cs="Times New Roman"/>
      <w:sz w:val="22"/>
      <w:szCs w:val="22"/>
    </w:rPr>
  </w:style>
  <w:style w:type="character" w:customStyle="1" w:styleId="ac">
    <w:name w:val="Без интервала Знак"/>
    <w:link w:val="ab"/>
    <w:uiPriority w:val="1"/>
    <w:locked/>
    <w:rsid w:val="0061638A"/>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01471">
      <w:marLeft w:val="0"/>
      <w:marRight w:val="0"/>
      <w:marTop w:val="0"/>
      <w:marBottom w:val="0"/>
      <w:divBdr>
        <w:top w:val="none" w:sz="0" w:space="0" w:color="auto"/>
        <w:left w:val="none" w:sz="0" w:space="0" w:color="auto"/>
        <w:bottom w:val="none" w:sz="0" w:space="0" w:color="auto"/>
        <w:right w:val="none" w:sz="0" w:space="0" w:color="auto"/>
      </w:divBdr>
    </w:div>
    <w:div w:id="320501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33893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Zavod</Company>
  <LinksUpToDate>false</LinksUpToDate>
  <CharactersWithSpaces>39759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admin</cp:lastModifiedBy>
  <cp:revision>2</cp:revision>
  <cp:lastPrinted>2011-03-25T06:14:00Z</cp:lastPrinted>
  <dcterms:created xsi:type="dcterms:W3CDTF">2014-03-25T05:49:00Z</dcterms:created>
  <dcterms:modified xsi:type="dcterms:W3CDTF">2014-03-25T05:49:00Z</dcterms:modified>
</cp:coreProperties>
</file>