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20" w:rsidRPr="005D3DFB" w:rsidRDefault="00950420" w:rsidP="005D3DFB">
      <w:pPr>
        <w:spacing w:line="360" w:lineRule="auto"/>
        <w:ind w:firstLine="720"/>
        <w:jc w:val="center"/>
        <w:rPr>
          <w:b/>
          <w:snapToGrid w:val="0"/>
          <w:sz w:val="28"/>
        </w:rPr>
      </w:pPr>
      <w:r w:rsidRPr="005D3DFB">
        <w:rPr>
          <w:b/>
          <w:snapToGrid w:val="0"/>
          <w:sz w:val="28"/>
        </w:rPr>
        <w:t>1.ВНЕШНЯЯ И ВНУТРЕННЯЯ СРЕДА ПРЕДПРИЯТИЯ.</w:t>
      </w:r>
    </w:p>
    <w:p w:rsidR="005D3DFB" w:rsidRDefault="005D3DFB" w:rsidP="005D3DFB">
      <w:pPr>
        <w:spacing w:line="360" w:lineRule="auto"/>
        <w:ind w:firstLine="720"/>
        <w:jc w:val="both"/>
        <w:rPr>
          <w:snapToGrid w:val="0"/>
          <w:sz w:val="28"/>
        </w:rPr>
      </w:pP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Любая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находится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функционирует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рамках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внешней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внутренней сред. Они предопределяют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успешность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функционирования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компании, накладывают определенные ограничения на операционные действия 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какой-то степени, каждое действие компании возможно только в том случае,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если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среда допускает его осуществление.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Внешняя среда является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источником,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питающим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ресурсами, необходимыми для поддержания ее внутреннего потенциала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должном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уровне. Организация находится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состоянии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постоянного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обмена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внешней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средой, обеспечивая тем самым себе возможность выживания. Но ресурсы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внешней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 не безграничны. И на них претендуют многие другие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находящиеся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среде.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Поэтому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всегда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существует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возможность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того,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что организация не сможет получить нужные ресурсы из внешней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может ослабить ее потенциал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привести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многим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негативным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 последствиям.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Задача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стратегического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управления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состоит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обеспечении такого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взаимодействия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средой,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которое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позволяло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ей поддерживать ее потенциал на уровне, необходимом для достижения ее целей,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тем самым давало бы ей возможность выживать в долгосрочной перспективе.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Изучение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внутренней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руководству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возможность оценить внутренние ресурсы и возможности компании. Выявляя сильные 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слабые стороны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руководство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имеет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возможность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расширять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укреплять конкурентные преимущества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соответственно,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предупредить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возникновение возможных проблем. Как и в случае с внешней средой,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задача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стратегического менеджмента компании поддерживать и улучшать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стороны,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увеличивают конкурентное преимущество компании в долгосрочном периоде.</w:t>
      </w:r>
    </w:p>
    <w:p w:rsidR="00950420" w:rsidRPr="005D3DFB" w:rsidRDefault="005D3DFB" w:rsidP="005D3DFB">
      <w:pPr>
        <w:spacing w:line="360" w:lineRule="auto"/>
        <w:ind w:firstLine="720"/>
        <w:jc w:val="center"/>
        <w:rPr>
          <w:b/>
          <w:snapToGrid w:val="0"/>
          <w:sz w:val="28"/>
        </w:rPr>
      </w:pPr>
      <w:r>
        <w:rPr>
          <w:snapToGrid w:val="0"/>
          <w:sz w:val="28"/>
        </w:rPr>
        <w:br w:type="page"/>
      </w:r>
      <w:r w:rsidR="00950420" w:rsidRPr="005D3DFB">
        <w:rPr>
          <w:b/>
          <w:snapToGrid w:val="0"/>
          <w:sz w:val="28"/>
        </w:rPr>
        <w:t>1.1. ВНЕШНЯЯ СРЕДА.</w:t>
      </w:r>
    </w:p>
    <w:p w:rsidR="005D3DFB" w:rsidRDefault="005D3DFB" w:rsidP="005D3DFB">
      <w:pPr>
        <w:spacing w:line="360" w:lineRule="auto"/>
        <w:ind w:firstLine="720"/>
        <w:jc w:val="both"/>
        <w:rPr>
          <w:snapToGrid w:val="0"/>
          <w:sz w:val="28"/>
        </w:rPr>
      </w:pP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Для принятия эффективных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управленческих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решений,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руководство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фирмы должно понимать и анализировать внешнее окружение. Для сканирования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внешней среды компании могут использовать исследования и сбор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информации,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изучение потребительского рынка с помощью рыночных исследований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(surveys)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фокус-групп (focus groups). Более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того,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должны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постоянно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отслеживать события и тренды, происходящие во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внешней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среде,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наряду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отслеживанием действий конкурентов (competitor intelligence). Отслеживание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внешней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 включает в себя сбор информации о социальных,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культурных,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демографических, экономических, политических, государственных и технологических трендах.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 данной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работники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могут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использовать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собственные наблюдения,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другие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информационные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ресурсы,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журналы, периодические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издание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газеты.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оптимального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изучения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компонентов внешней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современных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исследованиях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стратегического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 xml:space="preserve">менеджмента выделяют общую и конкурентную среду. 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Общая среда. Факторы, составляющие внешнюю среду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могут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влиять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то, каким образом она будет разрабатывать и применять стратегии. Общая среда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 поддается контролю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стороны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фирмы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ее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поведение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быть спрогнозировано с абсолютной точностью. Внешняя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слагается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 xml:space="preserve">шести основных сил или компонентов. 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Факторы общей среды.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Демографическая компонента. Демографические изменения имеют значительный эффект 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продукты компания будет производить, какой сервис предоставлять, какие рынки 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каких покупателей обслуживать.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Изменение возраста населения и колебания рождаемости. Изменение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среднем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возрасте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населения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означает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существенное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изменение структуры общества по возрасту. Падение или рост рождаемости это угроза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 одних сфер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деятельности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благо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других.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Например,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постоянный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 снижающийся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уровень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рождаемости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привести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увеличению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среднего возраста населения. Это скажется на появлении большего спроса на услуги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 пожилых людей.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Изменения в этническом соотношении. В данном аспекте изучается появление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новых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групп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потребителей.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Например, для США таким изменением стало увеличение процента потребителей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Испании и Португалии, а также афро-американцев.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стало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результатом того, что эта группа стала более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образованной,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располагать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более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высоким уровнем дохода и получила больше влияния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рабочих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местах.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здесь большую роль играют миграционные волны – повышение населения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одной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стране или регионе и снижение такового в другой стране 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регионе.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Особенно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 касается переездов из пригородных и сельских районов в города.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Социокультурная компонента.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Изменение в культурных ценностях. В первую очередь,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изменение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культурных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ценностях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какой-то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степени перекликаются с изменением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этническом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соотношении.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Появление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большего числа групп меньшинства и увеличивающиеся число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женщин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рабочих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местах можно отнести к смене в расстановке культурных ценностей. Также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сюда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можно изменение отношения к вопросу о заботе о здоровье. Например, в США 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смену возросшему числу желающих заняться спортом, пришел спад интереса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занятию фитнессом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1990-х. Это обусловило спад продаж у производителей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спортивной одежды, таких как Nike, Reebok, и CML International.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Политическая и законодательная компонента. Политическая составляющая макроокружения должна изучаться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первую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очередь 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того,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чтобы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иметь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ясное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представление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намерениях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органов государственной власти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отношении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развития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общества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средствах,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 помощью которых государство намерено проводить в жизнь свою политику. Изменения в политической ситуации или законодательстве также могут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являться значительным фактором,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влияющим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будет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работать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дальнейшем.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Государственные органы. Применительно к государственным органам, компании должны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отслеживать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какие программы пытаются провести в жизнь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различные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партийные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структуры,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какие группы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лоббирования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существуют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органах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государственной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власти,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 правительство относится к различным отраслям экономики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регионам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страны, какие изменения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законодательстве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правовом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регулировании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возможны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результате принятия новых законов и новых норм,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регулирующих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экономические процессы.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Законы,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принимающиеся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государственном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уровне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относительно деятельности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конкретной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отрасли,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затрагивают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операционную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деятельность таких отраслей в конкретной стране или регионе. Такие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изменения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могут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 сказаться и положительно 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деятельности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сделать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среду более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враждебной.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Например,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дерегуляция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отраслей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авиа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–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телефонных компаний в США,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банковской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инфраструктуры,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позволило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большому количеству новых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войти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рынок,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время,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компании-монополии утеряли доминирование на рынке.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Законотворчество местных органов управление. При изучении правовой компоненты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макроокружения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стратегическое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управление интересует степень правовой защищенности, динамизм правовой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уровень общественного контроля за деятельностью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правовой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системы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общества.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Очень важными являются выяснение степени обязательности действия правовых норм,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 также того, распространяется 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действие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все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же существуют исключения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правил,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наконец,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уяснение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того,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насколько неотвратимо применение санкций к организации в случае нарушения ею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правовых норм.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Технологическая компонента. Анализ данной компоненты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позволяет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своевременно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увидеть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возможности, которые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развитие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науки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техники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открывает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новой продукции, для усовершенствования производимой продукции и 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модернизации технологии изготовления и сбыта продукции. Прогресс науки и техники несет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себе огромные возможности и не менее огромные угрозы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фирм.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Опоздав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 модернизацией, они теряют свою долю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привести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крайне негативным для них последствиям.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Технологические инновации.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Создание новых продуктов, процессов, или усовершенствование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старых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–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все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относится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категории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инноваций.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должна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отслеживать технологические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инновации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двум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причинам.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Первая,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отслеживание технологий,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напрямую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соотносящихся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ее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бизнесу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целью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поддерживать конкурентоспособность на рынке. В этом случае использование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инноваций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дает 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преимущества.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Второй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случай,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отслеживание технологических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трендов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отраслях,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могут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связаны напрямую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деятельностью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Например,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мировые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производители фотоаппаратов и другой фотопродукции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должны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обеспокоены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техническим прорывом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области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цифровых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технологий.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данном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случае,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цифровая технология позволяет производить цифровые фотоаппараты, обладающие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 xml:space="preserve">большими возможностями по сравнению с обычными фотокамерами. 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Технологические стандарты. Эволюционные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преобразования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области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технологии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объективно предопределили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эволюцию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области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стандартизации.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Последовательная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непрерывная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интернационализация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выход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большого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количества компаний,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корпораций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фирм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зарубежные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сбыта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способствовали разработке соответствующих нормативных документов 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стандартов,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касающихся качества продукции. В настоящее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время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существуют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два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типа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международных стандартов в области качества: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1. Стандарты на продукцию, охватывающие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основном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вопросы,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связанные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спецификой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соответствующей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спецификацией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процесса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производства, а также показателями качества продукции, например,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такими, 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безопасность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числе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экологическая),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сохраняемость,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надежность, электромагнитная совместимость и т.п.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2. Стандарты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обеспечению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качества,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охватывающие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вопросы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обеспечения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качества поставщиком и распространяющиеся на все сферы деятельности.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Общемировой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стандартизации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является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ISO,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разработавшая стандарты семейства ISO 9000. Более 100 стран мира сотрудничают с ISO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через национальные органы по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стандартизации.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Великобритания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сотрудничает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через BSI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(Британский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Институт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Стандартов),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США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–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через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ANSI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(Американский Национальный Институт Стандартов), Россия –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через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Государственный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комитет по стандартизации (Госстандарт).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Макроэкономическая компонента.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Состояние экономики в общем в большой степени также влияет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деятельность разных отраслей. Состояние этой компоненты влияет 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стоимость всех вводимых ресурсов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способность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потребителей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покупать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определенные товары и услуги.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Бизнес цикл. Теория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бизнес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цикла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говорит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том,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существует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определенный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цикл экономической активности, состоящий из таких стадий как процветание,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упадок и восстановление.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стадии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бизнес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цикла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влияют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работу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компании, количество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нанятых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уволенных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работников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потребительские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желания клиентов.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период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процветания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уровень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ВВП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растет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компаниям предоставляется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возможность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инвестировать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новые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производственные мощности, в разработки продуктов, создавать новые рабочие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места.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время стадии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упадка,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замедляется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денег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инвестирования становится меньше. Компания может урезать текущие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расходы,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сократить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найм или сократить штат.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Потребители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период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склонные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покупать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более дешевые товары. Период восстановления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обозначается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переходная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 xml:space="preserve">стадии между двумя вышеназванными. 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Уровень дохода.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Средний уровень дохода населения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стран,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осуществляет свою деятельность, еще один фактор, составляющий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экономическую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компоненту. Если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уровень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дохода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населения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группы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потребителей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падает,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 означает, что компании нужно искать методы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удержание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счет существующих средств, начинать обслуживать новый сегмент или принять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другое соответствующее решение.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Уровень инфляции. Уровень инфляции также входит в экономическую составляющую,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влияет на деятельность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время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инфляции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покупательская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способность денег падает, что также вынуждает компанию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находить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пути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дальнейшего оперирования на рынке. Если, например, прогнозируется инфляция,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руководство может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считать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желательным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увеличение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запасов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поставляемых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 ресурсов и провести с рабочими переговоры 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фиксированной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оплате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труда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 тем, чтобы сдержать рост издержек в скором будущем.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Международная компонента. В то время как факторы внешней среды, описанные выше, в той или иной мере влияют на все организации, среда организаций, действующих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международном уровне, отличается повышенной сложностью. Последняя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обусловлена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уникальной совокупностью факторов, характеризующих каждую страну. Экономика,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культура, количество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качество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трудовых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материальных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ресурсов,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законы, государственные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учреждения,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политическая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стабильность,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уровень технологического развития разнятся от страны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стране.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осуществлении функций планирования, организации, стимулирования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контроля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руководители должны принимать такие различия в расчет.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Экспорт. Самый простой путь проникновения на международные рынки — экспорт продукции. Хотя организация продолжает производить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всю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продукцию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одной стране, она может 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координации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экспорта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создать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независимую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торговую компанию 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посредническую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службу,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будет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облегчать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заключение сделок иностранными покупателями. С расширением экспорта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может создать экспортный отдел с управляющим по экспорту, относящимся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среднему уровню в иерархии управления.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Прямые капиталовложения. Наиболее сильная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приверженность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международному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бизнесу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возникает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тогда, когда руководство решает выпускать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продукцию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своей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фирмы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границей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сохранять полный контроль над производством, маркетингом, финансами и другими ключевыми функциями.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Лицензирование. Предприятие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лицензию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своей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продукции иностранной компании или государству посредством соглашения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лицензионных платежах. То есть организация предоставляет иностранной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право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 использование патентов или технологии взамен на возмещение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затрат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 xml:space="preserve">форме лицензионных платежей или платы за услуги. 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Анализ конкурентной среды.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влияет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формирование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активной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пассивной составляющих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конкурентоспособности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фирмы: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выше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интенсивность конкуренции (и, следовательно, более агрессивная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среда),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тем сильнее должна быть развита пассивная конкурентоспособность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адаптации к конкурентной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среде),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меньше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возможностей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 влияния на конкурентную среду в силу несопоставимости внутренних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сил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фирмы с внешними воздействиями. Активная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конкурентоспособность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нужна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фирме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 снижения интенсивности конкуренции: если фирма занимает большую долю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рынка, 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ее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рыночная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власть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будет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выше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сильнее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активная конкурентоспособность), а интенсивность конкуренции со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стороны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 xml:space="preserve">конкурентов ниже. 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Пять сил Портера. 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степени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интенсивности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используют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обычно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модель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Майкла Портера. Она описывает функционирование конкурентной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рамках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пяти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основных конкурентных сил.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Угроза выхода на рынок новых компаний. Угроза выхода на рынок новых компаний заключается в том, что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они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добавляют в отрасль новые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производственные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мощности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самым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могут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уменьшить рыночные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существующих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конкурентов.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Кроме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того,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«новички»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могут привнести существенные ресурсы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(такие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развитая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реклама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большой бюджет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НИОКР),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обязательными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успешной деятельности на рынке. Данная угроза тем ниже,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выше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барьеры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входа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отрасль. Барьеры входа разделяются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нестратегические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стратегические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барьеры. Нестратегическими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называются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барьеры,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создаваемые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фундаментальными условиями отрасли, факторами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объективного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характера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большей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части независимые от деятельности фирмы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слабо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поддающиеся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ее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воздействию. Различают несколько видов нестратегических или объективных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барьеров,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среди которых можно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выделить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такие,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емкость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положительный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эффект масштаба производства, абсолютные преимущества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действующих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отрасли фирм в отношении издержек производства данного товара, необратимые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издержки 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минимально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эффективного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выпуска,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преимущества дифференциации продукта.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Стратегические барьеры создаются стратегией самой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фирмы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представляют факторы субъективного характера, присущие политике фирмы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рынке.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Данную деятельность можно отнести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активной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конкурентоспособности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организации, так как, возводя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барьеры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входа,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фирма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активно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воздействует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внешнюю среду. К стратегическим барьерам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можно отнести такие мероприятия фирм,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 сберегающие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инновации,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долгосрочные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контракты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поставщиками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ресурсов, получение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лицензий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патентов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данный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вид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деятельности,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сохранение незагруженных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мощностей,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все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способы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повышения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минимально эффективного объема выпуска для отрасли: увеличение издержек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рекламу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НИОКР,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маркетинговые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исследования,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издержки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созданию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имиджа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фирмы.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Стратегические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барьеры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могут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проявляться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ценовой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сбытовой политике, особенностях деятельности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производителей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качестве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держателей патентов, лицензий,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товарных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знаков.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Наличие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прочных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деловых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связей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неформальных отношений с поставщиками ресурсов 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покупателями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товара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тоже играет роль стратегического барьера. Крупные размеры хозяйственного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оборота 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отлаженный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производственный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процесс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позволяют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создавать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резервные мощности, которые могут быть использованы для ведения ценовой конкуренции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быстрой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экспансии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незанятые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сегменты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использовать разнообразные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соглашения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льготные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режимы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расчета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поставщиками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потребителями, оттесняя тем самым конкурентов.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Рыночная власть поставщиков. Рыночная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власть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поставщиков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влияет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качество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поставляемых продукции и услуг, что отражается на рентабельности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отрасли.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Условия,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 которых рыночная власть поставщиков высокая включают: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1. Доминирование нескольких поставщиков.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2. Большая концентрация в отрасли поставщиков, нежели чем в отрасли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производителей.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3. Недоступность товаров-заменителей.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4. Относительная незначимость производителя для поставщиков.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5. Важность продуктов поставщиков для производителя.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6. Высокая дифференциация поставщиков.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7. Высокие издержки производителя по смене поставщика.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8. Возможности поставщика по прямой интеграции с производителем.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Рыночная власть покупателей. Рыночная власть покупателей выражается в 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способностях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понижать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отрасли, путем уменьшения количества покупаемых ими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товара,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требовать лучшего качества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цену.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Факторы,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ведущие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большей рыночной власти покупателей, включают: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1. Большая концентрация, чем в отрасли производителя.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2. Большие объемы покупок.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3. Недифференцированные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стандартные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товары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услуги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производителя.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4. Угроза обратной интеграции покупателя с производителем.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5. Открытость информации о составе затрат производителя.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6. Высокая ценовая эластичность спроса в отрасли.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Если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покупатели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будут чувствительны 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изменениям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цен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рынке,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рыночная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власть производителя будет небольшой.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Угроза появления товаров-заменителей. Угроза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появления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товаров-заменителей.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Наличие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заменителей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устанавливает верхнюю границу цены на продукт в отрасли. Когда цены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существующих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товаров поднимаются выше данной границы, покупатели могут переключиться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товары-заменители. Способы борьбы с заменителями, входящие в активную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составляющую конкурентоспособности, состоят в дифференциации продукта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увеличении затрат потребителя на переключение на товар-заменитель.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Конкуренция между существующими компаниями в отрасли. Конкуренция между существующими компаниями в отрасли составляет ядро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модели Портера. Интенсивность конкуренции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между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фирмами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будет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высокой,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если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отрасли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присутствуют: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большое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количество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фирм,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небольшая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степень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их дифференциации (эти факторы были рассмотрены в различных типах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конкурентной среды),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низкий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темп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роста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отрасли,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высокие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фиксированные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затраты, возможность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увеличения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производственных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мощностей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только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посредством крупных наращиваний, высокие стратегические ставки, высокие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барьеры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выхода из отрасли по экономическим, стратегическим или эмоциональным причинам.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Интенсивность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зависит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типа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взаимодействия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между конкурентами и скорости происходящих в отрасли процессов.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Типы взаимодействия конкурентов классифицируется по степени конфликта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между фирмами: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конфронтация,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соперничество,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соревновательная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конкуренция, кооперация (сотрудничество). Типы конкурентного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взаимодействия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зависят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 активности конкурентоспособности организации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направлении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противодействия конкурентам.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Противодействие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заключаться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агрессивном ценообразовании (снижении цен), интенсивной рекламной кампании,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привлечении органов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государственной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власти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других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влиятельных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структур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 xml:space="preserve">для воздействия на конкурентов. 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Стратегические группы.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рамках анализа конкурентной среды может оказать полезной группировка несколько конкурентов конкретной отрасли в отдельные группы.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Данные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группы формируются из компаний, чьи стратегии схожи между собой,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занимают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похожие позиции на рынке и они следуют стратегии, используя схожие ресурсы. Основными характеристиками, по которым 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объединить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одну стратегическую группу, являются: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1. Размер компании – компании могут группироваться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стратегическую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группу согласно их размера.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Относительно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размера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различают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большие,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малые компании.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2. Доля на рынке – компании, занимающие приблизительно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одинаковую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долю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рынке.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3. Географический разброс операций – объединение на основе схожести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ведения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операций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рынках.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Относительно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географического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разброса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выделяют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международный, национальный и региональный рынки.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4.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Характеристики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–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группировка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согласно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характеристике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происходит 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основе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схожести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уровню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цен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широте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ассортимента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предлагаемого продукта.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5.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Операционный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охват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–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могут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объединены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одну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стратегическую группу, если они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использует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концентрированный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(focused)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подход к производству, и объединены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стратегическую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группу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если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 xml:space="preserve">используют диверсифицированный подход. 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Анализ развития отрасли. С течением времени многие отрасли проходят через ряд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стадий,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начиная от роста, переходящего в зрелость и конечному спаду. Этот естественный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путь развития компании содержит в себе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несколько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периодов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характерными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 каждого из них проблемами и ошибками.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определенном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этапе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роста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проходит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через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кризис корпоративных отношений, связанный со структурированием власти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компании. Вслед 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этим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этапом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быстрорастущие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сталкиваются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проблемой финансирования роста.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Именно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момент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возникает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потребность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привлечении капитала на фондовом рынке, что заставляет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переходить от формы компании закрытого типа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открытого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типа.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Естественно развивающаяся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осознает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необходимость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трансформации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 соответствующем цикле своего развития и вынуждена создавать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соответствующие корпоративные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отношения.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случае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имеющих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сконцентрированный акционерный капитал, у основного собственника возникает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дилемма,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известная в западной литературе как дилемма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инсайдерского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контроля: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либо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сохранять сконцентрированный контроль и расти низкими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темпами;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либо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быстрыми темпами, но утратить сконцентрированный контроль. В первом случае,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особенно на быстрорастущих рынках компания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утратить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лидирующее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положение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отрасли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из-за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отставания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росте,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конце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концов,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утратить конкурентоспособность. Во втором случае должна существовать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соответствующая система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корпоративного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управления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только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внутри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соответствующая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внешняя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оставаться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эффективной без концентрации контроля.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Барьеры для перехода из одной отрасли в другую. Барьеры перехода (mobility barriers) защищают стратегические группы от конкуренции с другими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стратегическими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группами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рамках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одной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отрасли. Барьеры перехода представляют общую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теорию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миграции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между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несколькими сегментами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одной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отрасли.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Майкл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Портер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(1981)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пересмотрел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идею стратегических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групп,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когда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отметил,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концепция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барьеров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перехода помогает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объяснить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работающие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одной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отрасли,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могут находиться на разных уровнях.</w:t>
      </w:r>
    </w:p>
    <w:p w:rsidR="00950420" w:rsidRPr="005D3DFB" w:rsidRDefault="00950420" w:rsidP="005D3DFB">
      <w:pPr>
        <w:pStyle w:val="a3"/>
        <w:spacing w:line="360" w:lineRule="auto"/>
        <w:ind w:firstLine="720"/>
      </w:pPr>
      <w:r w:rsidRPr="005D3DFB">
        <w:t>Для компаний, которые объединены в</w:t>
      </w:r>
      <w:r w:rsidR="005D3DFB">
        <w:t xml:space="preserve"> </w:t>
      </w:r>
      <w:r w:rsidRPr="005D3DFB">
        <w:t>группу</w:t>
      </w:r>
      <w:r w:rsidR="005D3DFB">
        <w:t xml:space="preserve"> </w:t>
      </w:r>
      <w:r w:rsidRPr="005D3DFB">
        <w:t>по</w:t>
      </w:r>
      <w:r w:rsidR="005D3DFB">
        <w:t xml:space="preserve"> </w:t>
      </w:r>
      <w:r w:rsidRPr="005D3DFB">
        <w:t>причине</w:t>
      </w:r>
      <w:r w:rsidR="005D3DFB">
        <w:t xml:space="preserve"> </w:t>
      </w:r>
      <w:r w:rsidRPr="005D3DFB">
        <w:t>использования одинаковых ресурсов, опыта, активов, барьеры</w:t>
      </w:r>
      <w:r w:rsidR="005D3DFB">
        <w:t xml:space="preserve"> </w:t>
      </w:r>
      <w:r w:rsidRPr="005D3DFB">
        <w:t>перехода</w:t>
      </w:r>
      <w:r w:rsidR="005D3DFB">
        <w:t xml:space="preserve"> </w:t>
      </w:r>
      <w:r w:rsidRPr="005D3DFB">
        <w:t>повышают</w:t>
      </w:r>
      <w:r w:rsidR="005D3DFB">
        <w:t xml:space="preserve"> </w:t>
      </w:r>
      <w:r w:rsidRPr="005D3DFB">
        <w:t>внутренние издержки для того, чтобы</w:t>
      </w:r>
      <w:r w:rsidR="005D3DFB">
        <w:t xml:space="preserve"> </w:t>
      </w:r>
      <w:r w:rsidRPr="005D3DFB">
        <w:t>перейти</w:t>
      </w:r>
      <w:r w:rsidR="005D3DFB">
        <w:t xml:space="preserve"> </w:t>
      </w:r>
      <w:r w:rsidRPr="005D3DFB">
        <w:t>в</w:t>
      </w:r>
      <w:r w:rsidR="005D3DFB">
        <w:t xml:space="preserve"> </w:t>
      </w:r>
      <w:r w:rsidRPr="005D3DFB">
        <w:t>другую</w:t>
      </w:r>
      <w:r w:rsidR="005D3DFB">
        <w:t xml:space="preserve"> </w:t>
      </w:r>
      <w:r w:rsidRPr="005D3DFB">
        <w:t>отрасль.</w:t>
      </w:r>
      <w:r w:rsidR="005D3DFB">
        <w:t xml:space="preserve"> </w:t>
      </w:r>
      <w:r w:rsidRPr="005D3DFB">
        <w:t>Например,</w:t>
      </w:r>
      <w:r w:rsidR="005D3DFB">
        <w:t xml:space="preserve"> </w:t>
      </w:r>
      <w:r w:rsidRPr="005D3DFB">
        <w:t>одним</w:t>
      </w:r>
      <w:r w:rsidR="005D3DFB">
        <w:t xml:space="preserve"> </w:t>
      </w:r>
      <w:r w:rsidRPr="005D3DFB">
        <w:t>из барьеров перехода может быть длительность отношений с потребителем.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Типы стратегий.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рамках анализа интенсивности конкуренции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отдельной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отрасли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 стратегической группе, можно выделить четыре вида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Они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отражают четыре различных подхода к росту фирмы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связаны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изменением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состояния одного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нескольких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следующих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элементов: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продукт,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рынок,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отрасль, положение фирмы внутри отрасли, технология.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Стратегия концентрированного роста - сюда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попадают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которые связаны 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изменением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затрагивают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три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других элемента. Конкретными типами стратегий первой группы являются: стратегия усиления позиции на рынке, при которой фирма делает все,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чтобы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 данным продуктом на данном рынке завоевать лучшие позиции стратегия развития рынка,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заключающаяся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поиске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новых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уже производимого продукта стратегия развития продукта, предполагающая решение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задачи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роста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счет производства нового продукта, предполагает реализовывать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освоенном фирмой рынке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Стратегия интегрированного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роста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-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предполагает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расширение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фирмы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путем добавления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новых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структур.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Выделяются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два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основных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типа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стратегий интегрированного роста: стратегия обратной вертикальной интеграции, направленная 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рост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фирмы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 счет приобретения или усиления контроля над поставщиками, 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счет создания дочерних структур, осуществляющих снабжение стратегия вперед идущей вертикальной интеграции, выражающаяся в росте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фирмы за счет приобретения или усиления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контроля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над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структурами,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находящимися между фирмой и конечным потребителем, т.е.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над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системами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распределения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продажи.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Стратегия диверсифицированного роста -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стратегиями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данного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типа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являются следующие: стратегия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центрированной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диверсификации,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базирующаяся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поиске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использовании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заключенных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существующем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бизнесе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дополнительных возможностей для производства новых продуктов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стратегия горизонтальной диверсификации, предполагающая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поиск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возможностей роста 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существующем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счет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новой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продукции,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требующей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новой технологии, отличной от используемой стратегия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конгломеративной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диверсификации,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состоящая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том,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фирма расширяется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счет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технологически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связанных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 xml:space="preserve">уже производимыми новых продуктов, которые реализуются на новых рынках. 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Стратегия реагирования – предполагает недостаток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постоянной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взаимосвязи между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стратегией,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структурой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культурой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Их,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большинстве случаев неэффективные, реакции на давление и изменения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окружающей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 xml:space="preserve">в основном предполагают постепенное изменение стратегии. 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Взаимоотношение между общей и конкурентной средой. Общая и конкурентная среды взаимосвязаны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постоянно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изменяются.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основном, общая среда оказывает большее воздействие 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конкурентную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среду, обратное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влияние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общую.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Например,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изменение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процентных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ставках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колебание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курса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валюты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могут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иметь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значительное влияние на спрос, и, соответственно, 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прибыль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многих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отраслей.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 менее, индивидуальные или совместные действия компаний одной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отрасли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редко могут влиять на макроэкономические показатели.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Информационная среда. Для того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чтобы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могла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результативно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изучать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состояние компонентов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общего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конкурентного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окружения,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должна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создана специальная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система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отслеживания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внешней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Данная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система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должна осуществлять как проведение специальных наблюдений,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связанных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какими-то особыми событиями, так и проведение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регулярных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(обычно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один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год) наблюдений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состоянием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важных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внешних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факторов. Проведение наблюдений может осуществляться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множеством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различных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способов.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Наиболее распространенными способами наблюдения являются: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Анализ материалов, опубликованных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книгах,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журналах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других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информационных изданиях;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Участие в профессиональных конференциях;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Анализ опыта деятельности организации;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Изучение мнения сотрудников организации;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Проведение внутриорганизационных собраний и обсуждений.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Изучение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компонент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внешней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должно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заканчиваться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только констатацией того, в каком состоянии они пребывали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ранее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состоянии они находятся на данный момент времени. Необходимо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выявить те тенденции, которые характерны для изменения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состояния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отдельных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важных факторов, и попытаться предсказать направление развития этих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факторов.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 поможет предвидеть какие угрозы и возможности могут ожидать организацию.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Прогнозирование. Сбор информации о компонентах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общего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конкурентного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окружения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 внутренних источников следует проводить, как изучая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различные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документы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материалы подразделений предприятия, имеющих какие-либо контакты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внешней средой, так и проводя экспертные опросы их сотрудников.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сборе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внешней «вторичной» информации необходимо использовать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различные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газеты,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журналы, официальные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издания,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справочники,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сборники,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каталоги,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другую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печатную рекламу, справочно-правовые системы, электронную сеть Internet.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Для получения исчерпывающей информации о потребителях, конкурентах 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других субъектах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относящихся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микросреде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предприятия,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следует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также собирать «первичную» информацию 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помощью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методов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наблюдения,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опросов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экспериментов. Параллельно со сбором информации о внешней среде 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 xml:space="preserve">решения стратегических задач должен осуществляться мониторинг внешней среды. 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Техники прогнозирование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могут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поделены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две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больших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категории: количественные техники и качественные техники.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Количественные техники наиболее подходят для изучения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доступной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информации прошлых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периодов,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где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предполагается,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взаимоотношения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между компонентами сред останутся в будущем без изменений. Существует три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базовых количественных техник –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эконометрические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модели,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регрессионный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анализ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выявление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трендов.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Эконометрические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модели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основываются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уравнениях регрессии, которые прогнозируют такие компоненты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процентные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ставки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денежное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предложение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(money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supply).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Все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количественные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техники прогнозирования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основываются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предположении,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взаимоотношения компонент останется прежним и будущее будет таким же, как прошлое.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 такое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предположение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абсурдно,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количественные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техники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становятся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менее эффективными.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Качественные техники. Существует шесть основных качественных техник прогнозирования: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1. Уровень предполагаемых продаж.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2. Субъективное мнение менеджмента.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3. Исследования рынка.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4. Построение сценарных прогнозов.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5. Дельфи прогнозирование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6.Мозговой штурм.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Качественные техники прогнозирования используются, когда информация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прошлых периодов недоступна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когда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ожидается,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компоненты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внешней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 изменятся в будущем.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Несмотря на то, что точное прогнозирование очень важно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стратегического менеджмента, нельзя сказать, какая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методик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более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совершенна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может унифицировано применяться во всех ситуациях.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Несмотря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только историческая информация не может быть основой 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построения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прогнозов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 будущее,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предположения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нужны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только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построения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прогнозов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 будущих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трендах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событиях,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могут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повлиять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деятельность компании. Ключом к эффективному стратегическому менеджменту в данном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случае будут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являться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надежные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источники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информации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максимально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точные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 xml:space="preserve">и разумные предположения. </w:t>
      </w:r>
    </w:p>
    <w:p w:rsidR="00950420" w:rsidRPr="005D3DFB" w:rsidRDefault="005D3DFB" w:rsidP="005D3DFB">
      <w:pPr>
        <w:spacing w:line="360" w:lineRule="auto"/>
        <w:ind w:firstLine="720"/>
        <w:jc w:val="center"/>
        <w:rPr>
          <w:b/>
          <w:snapToGrid w:val="0"/>
          <w:sz w:val="28"/>
        </w:rPr>
      </w:pPr>
      <w:r>
        <w:rPr>
          <w:snapToGrid w:val="0"/>
          <w:sz w:val="28"/>
        </w:rPr>
        <w:br w:type="page"/>
      </w:r>
      <w:r w:rsidR="00950420" w:rsidRPr="005D3DFB">
        <w:rPr>
          <w:b/>
          <w:snapToGrid w:val="0"/>
          <w:sz w:val="28"/>
        </w:rPr>
        <w:t>1.2.ВНУТРЕННЯЯ СРЕДА.</w:t>
      </w:r>
    </w:p>
    <w:p w:rsidR="005D3DFB" w:rsidRDefault="005D3DFB" w:rsidP="005D3DFB">
      <w:pPr>
        <w:spacing w:line="360" w:lineRule="auto"/>
        <w:ind w:firstLine="720"/>
        <w:jc w:val="both"/>
        <w:rPr>
          <w:snapToGrid w:val="0"/>
          <w:sz w:val="28"/>
        </w:rPr>
      </w:pP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Внутренняя среда организации – та часть общей среды, которая находится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ее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пределах.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оказывает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постоянное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самое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непосредственное воздействие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функционирование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Внутренняя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имеет несколько срезов, состояние которых в совокупности определяет тот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потенциал и те возможности,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которыми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располагает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организация.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Изучение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внутренней среды направлено на уяснение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того,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какими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сильными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слабыми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сторонами обладает организация. Сильные стороны служат базой, 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организация опирается в конкурентной борьбе и которую она должна стремиться расширять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укреплять. Слабые стороны — это предмет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пристального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внимания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стороны руководства, которое должно делать все возможное, чтобы избавиться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них.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Анализ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внутренней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обычно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проводится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сравнения положения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положением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ближайших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оценки конкурентной стратегической позиции организации).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Теория ресурсной базы организации. По теории ресурсной базы конкуренция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рассматривается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внутренний ресурс.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рамках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теории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определяются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принципы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устойчивости конкурентных преимуществ.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Подход,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основанный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теории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ресурсной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базы, выделяет пять пунктов.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1.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Определение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классификация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ресурсов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соответствии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сильными и слабыми сторонами.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2. Объединение ресурсов 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стержневые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компетенции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(собираются воедино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уникальные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черты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технологические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навыки,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коллективный опыт взаимодействия с потребителями продукции и понимание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особенностей рынка, потом формируются отличительные черты организации,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трудно поддающиеся копированию).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3.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Оценивание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ресурсов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стержневых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компетенций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относительно устойчивых конкурентоспособных преимуществ 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возможности их возмещения. Грант выделяет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четыре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характеристики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устойчивости конкурентных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преимуществ,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долговечность,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прозрачность,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переносимость и копируемость.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4. Выбор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наилучшим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образом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использует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ресурсы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возможности организации относительно внешних возможностей.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5. Определение дефицитов ресурсов 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инвестирование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совершенствование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слабых сторон (сделать их сильными).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С точки зрения развития организации, теория ресурсной базы относится 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происхождению, росту и поддержанию организации. Планирование ресурсной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базы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является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важным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фактором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поддержании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устойчивого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роста организации. В меняющихся условиях окружающей среды организация должна произвести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усовершенствовать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свои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ресурсы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поддержания конкурентоспособного преимущества 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роста.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представляют собой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совокупность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неиспользуемых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производственных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услуг,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они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являются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избыточной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производственной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мощностью.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Излишество</w:t>
      </w:r>
      <w:r w:rsidR="00362C0A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производственной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мощности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представляет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внутренний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механизм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роста,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который позволяет организации использовать избыточную производственную</w:t>
      </w:r>
      <w:r w:rsidR="00362C0A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мощность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обслуживания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существующего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рынка.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Использование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избыточной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производственной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мощности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важно,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когда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перемещает свою деятельность из регулируемой среды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нерегулируемую.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Главная идея теории ресурсной базы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–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должна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непрерывно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улучшать свои ресурсы и способности 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использования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преимуществ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изменяющихся условиях.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Цепочка ценностей. Основные виды деятельности подразделяются на: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Материально-техническое обеспечение.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Факторы: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1. прочность материальной системы и системы управления запасами;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2. продуктивность складско-сырьевых действий.</w:t>
      </w:r>
    </w:p>
    <w:p w:rsidR="00950420" w:rsidRPr="005D3DFB" w:rsidRDefault="00950420" w:rsidP="005D3DFB">
      <w:pPr>
        <w:pStyle w:val="a3"/>
        <w:spacing w:line="360" w:lineRule="auto"/>
        <w:ind w:firstLine="720"/>
      </w:pPr>
      <w:r w:rsidRPr="005D3DFB">
        <w:t>К</w:t>
      </w:r>
      <w:r w:rsidR="005D3DFB">
        <w:t xml:space="preserve"> </w:t>
      </w:r>
      <w:r w:rsidRPr="005D3DFB">
        <w:t>материально-техническому</w:t>
      </w:r>
      <w:r w:rsidR="005D3DFB">
        <w:t xml:space="preserve"> </w:t>
      </w:r>
      <w:r w:rsidRPr="005D3DFB">
        <w:t>обеспечению</w:t>
      </w:r>
      <w:r w:rsidR="005D3DFB">
        <w:t xml:space="preserve"> </w:t>
      </w:r>
      <w:r w:rsidRPr="005D3DFB">
        <w:t>относится</w:t>
      </w:r>
      <w:r w:rsidR="005D3DFB">
        <w:t xml:space="preserve"> </w:t>
      </w:r>
      <w:r w:rsidRPr="005D3DFB">
        <w:t>деятельность, относящаяся к получению, хранению и</w:t>
      </w:r>
      <w:r w:rsidR="005D3DFB">
        <w:t xml:space="preserve"> </w:t>
      </w:r>
      <w:r w:rsidRPr="005D3DFB">
        <w:t>управлению</w:t>
      </w:r>
      <w:r w:rsidR="005D3DFB">
        <w:t xml:space="preserve"> </w:t>
      </w:r>
      <w:r w:rsidRPr="005D3DFB">
        <w:t>вкладами.</w:t>
      </w:r>
      <w:r w:rsidR="005D3DFB">
        <w:t xml:space="preserve"> </w:t>
      </w:r>
      <w:r w:rsidRPr="005D3DFB">
        <w:t>Оно</w:t>
      </w:r>
      <w:r w:rsidR="005D3DFB">
        <w:t xml:space="preserve"> </w:t>
      </w:r>
      <w:r w:rsidRPr="005D3DFB">
        <w:t>включает</w:t>
      </w:r>
      <w:r w:rsidR="005D3DFB">
        <w:t xml:space="preserve"> </w:t>
      </w:r>
      <w:r w:rsidRPr="005D3DFB">
        <w:t>в себя функции складирования,</w:t>
      </w:r>
      <w:r w:rsidR="005D3DFB">
        <w:t xml:space="preserve"> </w:t>
      </w:r>
      <w:r w:rsidRPr="005D3DFB">
        <w:t>управления</w:t>
      </w:r>
      <w:r w:rsidR="005D3DFB">
        <w:t xml:space="preserve"> </w:t>
      </w:r>
      <w:r w:rsidRPr="005D3DFB">
        <w:t>запасами,</w:t>
      </w:r>
      <w:r w:rsidR="005D3DFB">
        <w:t xml:space="preserve"> </w:t>
      </w:r>
      <w:r w:rsidRPr="005D3DFB">
        <w:t>поддержания,</w:t>
      </w:r>
      <w:r w:rsidR="005D3DFB">
        <w:t xml:space="preserve"> </w:t>
      </w:r>
      <w:r w:rsidRPr="005D3DFB">
        <w:t>расписания поездок.</w:t>
      </w:r>
      <w:r w:rsidR="005D3DFB">
        <w:t xml:space="preserve"> </w:t>
      </w:r>
      <w:r w:rsidRPr="005D3DFB">
        <w:t>Это</w:t>
      </w:r>
      <w:r w:rsidR="005D3DFB">
        <w:t xml:space="preserve"> </w:t>
      </w:r>
      <w:r w:rsidRPr="005D3DFB">
        <w:t>производственный</w:t>
      </w:r>
      <w:r w:rsidR="005D3DFB">
        <w:t xml:space="preserve"> </w:t>
      </w:r>
      <w:r w:rsidRPr="005D3DFB">
        <w:t>срез</w:t>
      </w:r>
      <w:r w:rsidR="005D3DFB">
        <w:t xml:space="preserve"> </w:t>
      </w:r>
      <w:r w:rsidRPr="005D3DFB">
        <w:t>внутренней</w:t>
      </w:r>
      <w:r w:rsidR="005D3DFB">
        <w:t xml:space="preserve"> </w:t>
      </w:r>
      <w:r w:rsidRPr="005D3DFB">
        <w:t>среды,</w:t>
      </w:r>
      <w:r w:rsidR="005D3DFB">
        <w:t xml:space="preserve"> </w:t>
      </w:r>
      <w:r w:rsidRPr="005D3DFB">
        <w:t>относящийся</w:t>
      </w:r>
      <w:r w:rsidR="005D3DFB">
        <w:t xml:space="preserve"> </w:t>
      </w:r>
      <w:r w:rsidRPr="005D3DFB">
        <w:t>к изготовлению</w:t>
      </w:r>
      <w:r w:rsidR="005D3DFB">
        <w:t xml:space="preserve"> </w:t>
      </w:r>
      <w:r w:rsidRPr="005D3DFB">
        <w:t>продукта,</w:t>
      </w:r>
      <w:r w:rsidR="005D3DFB">
        <w:t xml:space="preserve"> </w:t>
      </w:r>
      <w:r w:rsidRPr="005D3DFB">
        <w:t>снабжению</w:t>
      </w:r>
      <w:r w:rsidR="005D3DFB">
        <w:t xml:space="preserve"> </w:t>
      </w:r>
      <w:r w:rsidRPr="005D3DFB">
        <w:t>и</w:t>
      </w:r>
      <w:r w:rsidR="005D3DFB">
        <w:t xml:space="preserve"> </w:t>
      </w:r>
      <w:r w:rsidRPr="005D3DFB">
        <w:t>ведению</w:t>
      </w:r>
      <w:r w:rsidR="005D3DFB">
        <w:t xml:space="preserve"> </w:t>
      </w:r>
      <w:r w:rsidRPr="005D3DFB">
        <w:t>складского</w:t>
      </w:r>
      <w:r w:rsidR="005D3DFB">
        <w:t xml:space="preserve"> </w:t>
      </w:r>
      <w:r w:rsidRPr="005D3DFB">
        <w:t>хозяйства</w:t>
      </w:r>
      <w:r w:rsidR="005D3DFB">
        <w:t xml:space="preserve"> </w:t>
      </w:r>
      <w:r w:rsidRPr="005D3DFB">
        <w:t>и обслуживанию</w:t>
      </w:r>
      <w:r w:rsidR="005D3DFB">
        <w:t xml:space="preserve"> </w:t>
      </w:r>
      <w:r w:rsidRPr="005D3DFB">
        <w:t>технологического</w:t>
      </w:r>
      <w:r w:rsidR="005D3DFB">
        <w:t xml:space="preserve"> </w:t>
      </w:r>
      <w:r w:rsidRPr="005D3DFB">
        <w:t>парка.</w:t>
      </w:r>
      <w:r w:rsidR="005D3DFB">
        <w:t xml:space="preserve"> </w:t>
      </w:r>
      <w:r w:rsidRPr="005D3DFB">
        <w:t>Улучшение</w:t>
      </w:r>
      <w:r w:rsidR="005D3DFB">
        <w:t xml:space="preserve"> </w:t>
      </w:r>
      <w:r w:rsidRPr="005D3DFB">
        <w:t>в</w:t>
      </w:r>
      <w:r w:rsidR="005D3DFB">
        <w:t xml:space="preserve"> </w:t>
      </w:r>
      <w:r w:rsidRPr="005D3DFB">
        <w:t>любой</w:t>
      </w:r>
      <w:r w:rsidR="005D3DFB">
        <w:t xml:space="preserve"> </w:t>
      </w:r>
      <w:r w:rsidRPr="005D3DFB">
        <w:t>деятельности, относящейся к материально-техническому обеспечению,</w:t>
      </w:r>
      <w:r w:rsidR="005D3DFB">
        <w:t xml:space="preserve"> </w:t>
      </w:r>
      <w:r w:rsidRPr="005D3DFB">
        <w:t>отражается</w:t>
      </w:r>
      <w:r w:rsidR="005D3DFB">
        <w:t xml:space="preserve"> </w:t>
      </w:r>
      <w:r w:rsidRPr="005D3DFB">
        <w:t>в</w:t>
      </w:r>
      <w:r w:rsidR="005D3DFB">
        <w:t xml:space="preserve"> </w:t>
      </w:r>
      <w:r w:rsidRPr="005D3DFB">
        <w:t>снижении цен и увеличении продуктивности.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="00362C0A">
        <w:rPr>
          <w:snapToGrid w:val="0"/>
          <w:sz w:val="28"/>
        </w:rPr>
        <w:t>анализа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материально-технического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обеспечения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необходимо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учитывать соответствие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производственных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мощностей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конкурентным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требованиям сегодняшнего дня,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эффективность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использования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производственных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мощностей (недозагрузка, возможность расширения производственной базы).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Процессы в организации.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Факторы: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1. производительность оборудования в сравнении с конкурентами;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2. подходящая автоматизация производственных процессов;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3.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эффективность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производственного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контроля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над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продукцией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целью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повышения качества и снижения цены;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4. эффективность планировки завода и модели технологических процессов.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Это вид деятельности, необходимый для превращения затрат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конечный продукт. Действия, относящиеся к обработке, упаковке,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сборке,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техническому обслуживанию и тестированию, относятся к процессам организации. Улучшение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процессах организации позволяет повысить качество продукта, эффективность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быстроту отклика на меняющиеся условия рынка.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Отгрузка.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Факторы: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1. своевременность и эффективность перевозки конечных продуктов;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2. эффективность складского хранения конечного продукта;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Когда конечный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товар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произведен,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он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должен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представлен клиентам организации.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Здесь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включены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функции,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складирование, погрузочно-разгрузочные операции, деятельность средств доставки 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обработка заказов. Улучшение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видах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деятельности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имеет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следствием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высокую эффективность и высокий уровень сервиса.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Маркетинг и продажи.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Факторы: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1.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эффективность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маркетинговых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исследований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выявления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потребительского сегмента и потребности;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2. новые методы в продвижении товаров и рекламе;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3. оценка каналов распределения;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4. движущая сила и компетентность продавцов;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5. разработка качественного имиджа и желаемой репутации;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6. степень приверженности потребителя к данной марке товара;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7. степень лидирующего положения на рынке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рамках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сегмента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целого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Вся маркетинговая деятельность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включает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себя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четыре основные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вопроса: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структуру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продукции,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цену,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продвижение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способы</w:t>
      </w:r>
      <w:r w:rsidR="00362C0A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распределения. Маркетинговый срез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внутренней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включает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себя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всю деятельность организации, которая связана с реализацией продукта. К ней,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 большему счету, относится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продукта,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ценообразования, стратегия продвижения продукта 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выбор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сбыта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систем распределения.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Служба работы с покупателями.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Факторы: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1. методы получения потребительского взноса в улучшение продукта;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2. расторопность внимания на жалобы клиентов;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3. соответствие гарантий и гарантийной политики;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4. качество потребительского образования и воспитания;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5. способность предоставлять сменные детали и бюро ремонта.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Менеджеры считают, что служба работы с клиентами – важная деятельность организации. В нее включены установка, ремонт, обучение клиентов,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снабжение запасными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частями,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сборка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монтаж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продукции,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обходительность, учтивость и быстрый отклик на запросы и жалобы потребителей.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Поддерживающая деятельность.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Управление трудовыми ресурсами.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Факторы:</w:t>
      </w:r>
    </w:p>
    <w:p w:rsidR="00950420" w:rsidRPr="00362C0A" w:rsidRDefault="00950420" w:rsidP="00362C0A">
      <w:pPr>
        <w:spacing w:line="360" w:lineRule="auto"/>
        <w:ind w:firstLine="720"/>
        <w:jc w:val="both"/>
        <w:rPr>
          <w:sz w:val="28"/>
          <w:szCs w:val="28"/>
        </w:rPr>
      </w:pPr>
      <w:r w:rsidRPr="005D3DFB">
        <w:rPr>
          <w:snapToGrid w:val="0"/>
          <w:sz w:val="28"/>
        </w:rPr>
        <w:t>1.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эффективность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процессов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найма,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подготовки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продвижения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всех</w:t>
      </w:r>
      <w:r w:rsidR="005D3DFB">
        <w:t xml:space="preserve"> </w:t>
      </w:r>
      <w:r w:rsidRPr="00362C0A">
        <w:rPr>
          <w:sz w:val="28"/>
          <w:szCs w:val="28"/>
        </w:rPr>
        <w:t>работников;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2. соответствие компенсирующей системы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мотивации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стимулирования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работников;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3. рабочая среда, минимизирующая абсентеизм;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4. отношения с профсоюзами;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5. активное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участие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менеджеров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технического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персонала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профессиональных организациях;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6.уровень мотивации и удовлетворения работой у сотрудников.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Это кадровый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срез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внутренней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Он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охватывает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взаимодействие менеджеров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рабочих,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наем,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обучение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продвижение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кадров,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оценку результатов труда и стимулирование, создание и поддержание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отношений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между работниками.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Для анализа этого среза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внутренней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необходимо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рассматривать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стиль управления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высшего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руководства,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соответствие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квалификации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персонала организации ее текущим и будущим задачам.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Развитие технологий.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Факторы: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1. Успешность исследовательских и проектных действий.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2. Качество отношений между персоналом проектно-исследовательского отдела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работниками других отделов.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3. своевременность разработок в соответствии с нужным моментом.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4. качество лабораторий и другого оборудования.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5. квалификация и опыт работников лабораторий и ученых.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6. способность рабочей среды поощрять творчество и новые идеи.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Технологии пронизывают всю важную деятельность организации.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Они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влияют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 деятельность от развития продукта и процессов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заказов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представления конечного продукта. Развитие технологий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лежит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пределами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традиционного исследования и развития, и относится не только к продукту.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Снабжение.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Факторы: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1.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Развитие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альтернативных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источников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вклада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минимизирования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зависимости от отдельного поставщика.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 xml:space="preserve">2. </w:t>
      </w:r>
      <w:r w:rsidRPr="005D3DFB">
        <w:rPr>
          <w:snapToGrid w:val="0"/>
          <w:sz w:val="28"/>
          <w:lang w:val="en-US"/>
        </w:rPr>
        <w:t>C</w:t>
      </w:r>
      <w:r w:rsidRPr="005D3DFB">
        <w:rPr>
          <w:snapToGrid w:val="0"/>
          <w:sz w:val="28"/>
        </w:rPr>
        <w:t>набжение сырьем (своевременно, по возможно низкой цене, на допустимом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уровне качества).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3. Процессы снабжения заводов, механизмов, зданий.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4. Развитие критерия аренды, а не покупки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5. Крепкие, длительные отношения с надежными поставщиками.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Снабжение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относится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функциям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приобретения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вложений,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которые упоминаются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цепочке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ценностей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сырье,</w:t>
      </w:r>
      <w:r w:rsidR="00362C0A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поставщики,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вложения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производительный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процесс,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оборудование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(также машинное), здания. Приобретение этих вложений важно не только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основных видов деятельности, но и для поддерживающей деятельности.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Инфраструктура фирмы.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Факторы: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1.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Способность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определить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конъюнктуру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рынка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нового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потенциальные угрозы среды.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2. Качество системы стратегического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планирования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достижения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целей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деятельности фирмы.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3. Координация и интеграция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всей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деятельности,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относящейся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цепочке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ценностей между организационными частями.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4. Способность получать относительно недорогие средства 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капзатрат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оборотных средств.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5. Уровень поддержки информационных систем при принятии стратегических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рутинных решений.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6. Своевременная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точная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информация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управления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основной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конкурентной среде.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7. Отношения с выработчиками госполитики и группой заинтересованных лиц.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8. Имидж и корпоративный патриотизм.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Инфраструктура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являться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конкурентоспособным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преимуществом.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Структура организации. Что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касается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структуры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существует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несколько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вариантов организационных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структур: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линейно-функциональная,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матричная, дивизиональная.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 в последнее время предложены еще 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виды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структур, как сетевая и горизонтальная. Немного о каждой структуре.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Линейно-функциональная структура.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Деятельность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осуществляется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разрозненными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функциональными подразделениями, т.е. работа выполняется с начала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узкоспециализированным подразделении, потом перекидывается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следующее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функциональное подразделение.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Основные принципы: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стабильность;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экономия на управленческих расходах;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специализация и компетентность;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быстрое решение простых проблем, находящихся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компетенции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одной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функциональной службы;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ориентация на действующие технологии и сложившийся рынок;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ориентация на ценовую конкуренцию;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Матричная структура.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Это организация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функциональными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подразделениями,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построенная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 проектам.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Сначала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создаются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временные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рабочие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группы;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затем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следует</w:t>
      </w:r>
      <w:r w:rsidR="00362C0A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формирование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постоянно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действующих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команд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комитетов,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деятельность которых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концентрируется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вокруг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конкретных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проблем.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последнем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этапе назначается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менеджер,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отвечает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координацию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результаты деятельности этих команд или комитетов.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Основные принципы: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инновации;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назначение конкретного лица,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которому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сходятся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все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вопросы,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касающиеся проекта;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знания и опыт может передаваться от одного проекта к другому;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быстрое реагирование на нужды проекта и заказчиков;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согласованность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управления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проектами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обеспечиваться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посредством осознанного конфликта;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плановый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контроль,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система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поддержания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равновесия,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переговоры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между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руководителями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проектов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функциональных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подразделений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Дивизиональная структура.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В такой структуре часть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даже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все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«штабные»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функции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придаются производственным звеньям. Это позволяет им частично или полностью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взять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 себя ответственность за разработку, производство, и сбыт своей продукции.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результате управленческие ресурсы руководства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высвобождаются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 решения стратегических задач.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Основные принципы: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гибкость (наиболее эффективны в динамической среде);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оперативность принятия решений;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междисциплинарный подход;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быстрое решение сложных межфункциональных проблем;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ориентация на новые рынки и технологии;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ориентация на неценовую конкуренцию;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Сетевая структура.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структурой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основаны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сотрудничающих, многофункциональных командах и объединенных в сети бизнесах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рамках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одной компании. Команды действуют как сеть элементов, выполняя функции: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клиент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– сервер.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Основные принципы: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динамика, изменения;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самоуправление;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достижение целей команды;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сотрудничество;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производственные достижения, уровень профессионализма;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сопричастность;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лидерство.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Горизонтальная структура.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структурой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построены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основном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вокруг производственного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процесса.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Устанавливаются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тесные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рабочие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отношения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 поставщиками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другими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внешними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организациями,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обучение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персонала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вовлечение его во все ключевые аспекты проекта, а также поощрение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командной деятельности.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Основные принципы: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более плоская иерархия;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команды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используются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управления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всей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производственной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деятельностью;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потребители являются двигателем производственной деятельности;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- все работники должны быть полностью информированы и обучены</w:t>
      </w:r>
      <w:r w:rsidR="00362C0A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 максимума расширены контакты с поставщиками и потребителями.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При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формулировании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очень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важно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определить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структуру организации. Необходимо, чтоб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структура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была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совместима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предложенными изменениями стратегии, тогда это может быть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сильной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стороной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организации. Если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структура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совместима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настоящей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предлагаемой стратегией, это является определенной слабой стороной,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будет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невозможно применить стратегию должным образом.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Другие факторы внутренней среды. Финансовый анализ. Включает в себя: стоимость средств, сравнимую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нормой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основными конкурентами,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способность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нарастить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добавочные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средства,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адекватный коэффициент ликвидности, использование кредитов для финансовой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деятельности в сравнение 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нормами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основными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конкурентами,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адекватный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коэффициент активности, адекватный коэффициент рентабельности, отношения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кредиторами 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акционерами,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политику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дивидендов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соответствие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притока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оттока средств.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Финансовый срез включает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процессы,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связаны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обеспечением эффективного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использования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движения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денежных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средств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организации, например поддержание должного уровня ликвидности,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обеспечение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прибыльности и создание инвестиционных возможностей.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Факторами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сферы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финансов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учета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выделить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возможность привлечения краткосрочного и долгосрочного капитала,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отношение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налогам, гибкость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структуры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капитала,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эффективный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контроль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над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издержками, возможность их снижения,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система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учета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издержек,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составления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бюджета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планирования прибыли. Для анализа финансового среза рассматриваются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вопросы тенденций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изменениях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финансовых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показателей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деятельности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организации, процент прибыли, обеспечивающийся отдельными подразделениями,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осуществление капитальных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затрат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соответствии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будущими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производственными потребностями и т.д.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Культура и руководство. Факторы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внутренней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организации: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сознание идентичности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присоединения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представленной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своим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членам, прочность и постоянность культуры частей организации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соотношении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друг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 другом и со всей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корпоративной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культурой,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способность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культуры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поощрять инновации, творчество и открытость новым идеям,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способность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адаптироваться и погружаться, совместимая с требованиями изменяющейся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окружающей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стратегии,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мотивация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исполнительных,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управленческих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работников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сотрудников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нижнего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уровня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(основана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денежных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нематериальных премиях).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Наряду с изучением различных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аспектов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внутренней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 очень большое значение имеет также анализ организационной культуры.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ни одной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имела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организационной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культуры.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Она пронизывает любую организацию насквозь, проявляясь в том,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осуществляют свою работу сотрудники организации, как они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относятся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друг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другу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 организации в целом. Организационная структура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способствовать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тому, что организация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выступает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сильной,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устойчиво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выживающей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конкурентной борьбе структурой.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организационная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культура ослабляет организацию, не давая ей успешно развиваться даже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случае, если она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имеет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высокий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технико-технологический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финансовый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потенциал.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Особая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важность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анализа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организационной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культуры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стратегического управления состоит в том, что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определяет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только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отношения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между людьми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оказывает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сильное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влияние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 организация строит свое взаимодействие с внешним окружением,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относится к своим клиентам и какие методы выбирает 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ведения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конкурентной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борьбы. Так как организационная культура не имеет явного проявления,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ее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сложно изучать. Тем не менее есть несколько устойчивых признаков, которые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помогают оценить те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слабые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сильные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стороны,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которые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организационная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культура порождает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Информацию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организационной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культуре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можно получить из различных публикаций, в которых организация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представляет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себя. 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сильной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организационной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культурой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стремятся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подчеркнуть важность людей, работающих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уделяют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большое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внимание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разъяснению своей философии, пропаганде своих ценностей. В то же время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организаций со слабой организационной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культурой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характерно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стремление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публикациях говорить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формальных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организационных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количественных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аспектах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своей деятельности. Представление об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организационной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культуре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 сотрудники трудятся на своих рабочих местах, как они взаимодействуют друг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 другом,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чему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они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отдают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предпочтение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разговорах.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понимания организационной культуры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важно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знать,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построена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система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карьеры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362C0A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организации, и какие критерии служат для продвижения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работников.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случае если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работников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продвигают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быстро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результатам индивидуальных достижений, 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предположить,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существует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слабая организационная культура. Если же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карьера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сотрудников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имеет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долгосрочный характер и предпочтение при продвижении отдается умению хорошо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трудиться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коллективе,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имеет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явные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признаки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сильной организационной культуры. Пониманию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организационной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культуры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способствует изучение того, существуют ли в 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устойчивые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заповеди,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неписаные нормы поведения, ритуальные мероприятия, предания, герои и т.п. 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насколько об этом осведомлены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все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сотрудники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насколько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серьезно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они относятся ко всему этому. Если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сотрудники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хорошо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осведомлены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истории организации, серьезно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уважением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относятся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правилам,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ритуалам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организационным символам, то можно уверенно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предположить,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что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организация обладает сильной организационной культурой.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Качество руководства также имеет огромное влияние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формирование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развитие организационной культуры и также трудно оцениваемо.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Легальность и репутация. Говоря об этом факторе внутренней среды, мы имеем в виду эффективность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повторении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сдерживающих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факторов,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отношения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активной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группой потребителей, отношения со средствами информации, отношения 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выработчиками политики и госчиновниками, способность получения правительственных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грантов и субсидирования и степень защиты пошлинной торговли.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Государственная стратегия, направленная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улучшение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легальности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репутации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стремиться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благополучной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законодательной деятельности и общественному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мнению.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Иногда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общество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решить,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что продукт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деятельность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оказывают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пагубное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влияние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 окружающую среду или потребителей, и это может привести к общественному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 законному протесту, что,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вероятно,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повлияет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потенциал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экономического роста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прибыли.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Иногда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рекламная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совсем соответствует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стандартам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этики.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Реклама,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сознательно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обманывающая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вводящая 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заблуждение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потребителей,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иметь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серьезное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влияние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 легальность и репутацию организации. Относительное положение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отношении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легальности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репутации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оценивать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труднее,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большинство основных и поддерживающих видов деятельности.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Научно-исследовательская и опытно-конструкторская работа.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Технология корпорации помогает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определять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ее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рыночную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нишу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тип конкуренции, с которым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сталкивается.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R&amp;D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работники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ответственны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 формулирование и осуществление технологической стратегии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компании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свете ее общих целей и политики. Здесь менеджеры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выбирают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новые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технологии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 использования, разрабатывают методы воплощения новых технологий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продукты и процессы и используют ресурсы таким образом, чтобы новые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технологии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были применены наилучшим образом.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Деятельность,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относящаяся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исследованию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разработкам, может быть разных видов. Некоторые 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определяют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 как основные исследования и разработки (хорошо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оборудованные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лаборатории), концентрируясь на проблемах теоретического характера.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Лучший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показатель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 этой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области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разработок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–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патенты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исследовательские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публикации организации.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Другие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концентрируются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промышленных исследованиях и разработках (улучшение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продукта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упаковки),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лучший показатель в этой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области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–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число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удачно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представленных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продуктов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или процент всех продаж и доход от продуктов, представленных за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последние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пять лет.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Некоторые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используют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технические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(технологические) исследования и разработки, концентрируясь 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улучшении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качества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контроля, технических норм проектирования 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производственного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оборудования.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этой области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возможности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измеряются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постоянным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снижением производственных затрат и дефектов продукта. Многие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научно-исследовательской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опытно-конструкторской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работе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используют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соединение основных, промышленных и технологических типов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исследований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разработок. Равновесие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этих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типов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(R&amp;D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mix)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должно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соответствовать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стратегии продуманной для жизненного цикла продукта.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Информационные системы.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Информационные системы 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могут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сильной,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так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слабой стороной организации. Они являются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очень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важной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частью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внутренней среды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назначение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–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обеспечивать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поддерживать информационный поток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организации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целью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улучшения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продуктивности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принятия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решений.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Информация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должна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собрана,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сохранена,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синтезирована таким образом, чтоб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реагировать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запросы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деятельности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 стратегии.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Информационные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системы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могут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только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помочь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анализе окружающей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среды,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быть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стратегическим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оружием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достижении конкурентоспособных преимуществ. Они достигают четыре важные цели: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1. С их помощью можно получить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предупреждение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внутренних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внешних проблемах организации. Информационная система представляет собой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базу данных, в которой информация собирается, разбивается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на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категории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храниться для использования сотрудниками всех отделов.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2. С их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помощью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можно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автоматизировать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рутинные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операции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(платежные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ведомости, инвентарь и т.д. могут быть написаны автоматически)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napToGrid w:val="0"/>
          <w:sz w:val="28"/>
        </w:rPr>
      </w:pPr>
      <w:r w:rsidRPr="005D3DFB">
        <w:rPr>
          <w:snapToGrid w:val="0"/>
          <w:sz w:val="28"/>
        </w:rPr>
        <w:t>3. Информационные системы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помогают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менеджерам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всех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уровней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принимать рутинные повседневные решения (например,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решать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проблему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расписания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заказов).</w:t>
      </w:r>
    </w:p>
    <w:p w:rsidR="00950420" w:rsidRPr="005D3DFB" w:rsidRDefault="00950420" w:rsidP="005D3DFB">
      <w:pPr>
        <w:spacing w:line="360" w:lineRule="auto"/>
        <w:ind w:firstLine="720"/>
        <w:jc w:val="both"/>
        <w:rPr>
          <w:sz w:val="28"/>
        </w:rPr>
      </w:pPr>
      <w:r w:rsidRPr="005D3DFB">
        <w:rPr>
          <w:snapToGrid w:val="0"/>
          <w:sz w:val="28"/>
        </w:rPr>
        <w:t>4.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Информационные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системы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предоставляют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информацию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для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принятия</w:t>
      </w:r>
      <w:r w:rsidR="005D3DFB">
        <w:rPr>
          <w:snapToGrid w:val="0"/>
          <w:sz w:val="28"/>
        </w:rPr>
        <w:t xml:space="preserve"> </w:t>
      </w:r>
      <w:r w:rsidRPr="005D3DFB">
        <w:rPr>
          <w:snapToGrid w:val="0"/>
          <w:sz w:val="28"/>
        </w:rPr>
        <w:t>стратегических решений.</w:t>
      </w:r>
      <w:bookmarkStart w:id="0" w:name="_GoBack"/>
      <w:bookmarkEnd w:id="0"/>
    </w:p>
    <w:sectPr w:rsidR="00950420" w:rsidRPr="005D3DFB" w:rsidSect="005D3DFB">
      <w:footerReference w:type="even" r:id="rId7"/>
      <w:footerReference w:type="default" r:id="rId8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7F" w:rsidRDefault="00E2207F">
      <w:r>
        <w:separator/>
      </w:r>
    </w:p>
  </w:endnote>
  <w:endnote w:type="continuationSeparator" w:id="0">
    <w:p w:rsidR="00E2207F" w:rsidRDefault="00E2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FB" w:rsidRDefault="005D3DFB">
    <w:pPr>
      <w:pStyle w:val="a6"/>
      <w:framePr w:wrap="around" w:vAnchor="text" w:hAnchor="margin" w:xAlign="right" w:y="1"/>
      <w:rPr>
        <w:rStyle w:val="a5"/>
      </w:rPr>
    </w:pPr>
    <w:r>
      <w:rPr>
        <w:rStyle w:val="a5"/>
        <w:noProof/>
      </w:rPr>
      <w:t>1</w:t>
    </w:r>
  </w:p>
  <w:p w:rsidR="005D3DFB" w:rsidRDefault="005D3DF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FB" w:rsidRDefault="00027308">
    <w:pPr>
      <w:pStyle w:val="a6"/>
      <w:framePr w:wrap="around" w:vAnchor="text" w:hAnchor="margin" w:xAlign="right" w:y="1"/>
      <w:rPr>
        <w:rStyle w:val="a5"/>
      </w:rPr>
    </w:pPr>
    <w:r>
      <w:rPr>
        <w:rStyle w:val="a5"/>
        <w:noProof/>
      </w:rPr>
      <w:t>1</w:t>
    </w:r>
  </w:p>
  <w:p w:rsidR="005D3DFB" w:rsidRDefault="005D3D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7F" w:rsidRDefault="00E2207F">
      <w:r>
        <w:separator/>
      </w:r>
    </w:p>
  </w:footnote>
  <w:footnote w:type="continuationSeparator" w:id="0">
    <w:p w:rsidR="00E2207F" w:rsidRDefault="00E2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E002E"/>
    <w:multiLevelType w:val="singleLevel"/>
    <w:tmpl w:val="38AECC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87580D"/>
    <w:multiLevelType w:val="multilevel"/>
    <w:tmpl w:val="437C5392"/>
    <w:lvl w:ilvl="0">
      <w:start w:val="1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420"/>
    <w:rsid w:val="00027308"/>
    <w:rsid w:val="00362C0A"/>
    <w:rsid w:val="0043536A"/>
    <w:rsid w:val="005D3DFB"/>
    <w:rsid w:val="006E1DD6"/>
    <w:rsid w:val="00950420"/>
    <w:rsid w:val="00D12010"/>
    <w:rsid w:val="00E01DF9"/>
    <w:rsid w:val="00E2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0333B55-0A98-4789-A507-3523A433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</w:style>
  <w:style w:type="character" w:styleId="a5">
    <w:name w:val="page number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7957</Words>
  <Characters>45356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53207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Артем</dc:creator>
  <cp:keywords/>
  <dc:description/>
  <cp:lastModifiedBy>admin</cp:lastModifiedBy>
  <cp:revision>2</cp:revision>
  <dcterms:created xsi:type="dcterms:W3CDTF">2014-02-23T03:59:00Z</dcterms:created>
  <dcterms:modified xsi:type="dcterms:W3CDTF">2014-02-23T03:59:00Z</dcterms:modified>
</cp:coreProperties>
</file>