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98" w:rsidRPr="00DA685D" w:rsidRDefault="00171B98" w:rsidP="00171B98">
      <w:pPr>
        <w:spacing w:before="120"/>
        <w:jc w:val="center"/>
        <w:rPr>
          <w:b/>
          <w:bCs/>
          <w:sz w:val="32"/>
          <w:szCs w:val="32"/>
        </w:rPr>
      </w:pPr>
      <w:r w:rsidRPr="00DA685D">
        <w:rPr>
          <w:b/>
          <w:bCs/>
          <w:sz w:val="32"/>
          <w:szCs w:val="32"/>
        </w:rPr>
        <w:t>Внутрифирменное обучение как технология развития кадрового потенциала организации</w:t>
      </w:r>
    </w:p>
    <w:p w:rsidR="00171B98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56CF8">
        <w:rPr>
          <w:color w:val="000000"/>
          <w:sz w:val="28"/>
          <w:szCs w:val="28"/>
        </w:rPr>
        <w:t>Тахир Юсупович Базаров, МГУ им. М.В. Ломоносова</w:t>
      </w:r>
      <w:r w:rsidRPr="003B5419">
        <w:rPr>
          <w:sz w:val="24"/>
          <w:szCs w:val="24"/>
        </w:rPr>
        <w:t xml:space="preserve"> </w:t>
      </w:r>
    </w:p>
    <w:p w:rsidR="00171B98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В эту ночь я долго не мог заснуть. Целый час я лежал в постели и думал об инкубаторе.</w:t>
      </w:r>
    </w:p>
    <w:p w:rsidR="00171B98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Н. Носов. Веселая семейка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Промышленность, знания и технологии развиваются настолько быстро, что в течение каждых пяти лет количество информации удваивается. Сейчас невозможно в процессе трудовой жизни (30 — 40 лет) пользоваться только теми знаниями, которые были приобретены в специальной школе или высшем учебном заведении. Еще в 50-х годах специалисты Японского центра по повышению производительности труда отмечали в документе «10 лет за производительность», что промышленность и управление — это прежде всего людские ресурсы и главная проблема заключается в том, как обеспечить отрасли промышленности и управленческие структуры квалифицированными кадрами. Позже, в 70-е годы, в развитых странах была разработана концепция непрерывного образования, которая за последнее время стала одним из самых эффективных инструментов, позволяющих решать проблемы соответствия быстро растущего технического потенциала и персонала. Концепция предполагает, что процесс профессионального развития становится постоянным, специалист в рамках самой деятельности и на специальных курсах получает новые знания, необходимые для поддержания собственной работоспособности.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Уже в середине 80-х годов американские корпорации расходовали на образование и профессиональную подготовку около 60 млрд. долл., а на принадлежащих им предприятиях обучалось около 8 млн. человек — примерно столько же, сколько в вузах США. Обучение в рамках фирм или специальных учебных центров как бы дополняет знания, полученные в школе или вузе, приспосабливает их к своим производственным нуждам. 75% фирм обеспечивают занятый у них персонал программами профессиональной подготовки.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Среди основных факторов, иллюстрирующих важность нeпрерывного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образования, могут быть выделены следующие.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1. Внедрение новой техники, технологии, производство современных товаров, рост коммуникативных возможностей создают условия для ликвидации или изменения некоторых видов работ. В связи с этим необходимая квалификация не может быть гарантирована базовым образованием.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2. Мир превращается в рынок без границ с высоким уровнем конкуренции между странами. Страны, имеющие современную систему инженерного и управленческого высшего образования и программы непрерывного образования, лидируют в условиях этой конкуренции. Они тем самым имеют возможность в кратчайшие сроки ответить на любой «вызов» повышением производительности инженерного и управленческого труда.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3. Изменения во всех областях жизни — главный элемент современности. Непрерывные и быстрые изменения в технологии и информатике требуют непрерывного обучения персонала.</w:t>
      </w:r>
    </w:p>
    <w:p w:rsidR="00171B98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4. Более эффективным и экономичным для фирмы является повышение отдачи от уже работающих сотрудников на основе их непрерывного обучения, чем привлечение новых работников.</w:t>
      </w:r>
    </w:p>
    <w:p w:rsidR="00171B98" w:rsidRPr="00DA685D" w:rsidRDefault="00171B98" w:rsidP="00171B98">
      <w:pPr>
        <w:spacing w:before="120"/>
        <w:jc w:val="center"/>
        <w:rPr>
          <w:b/>
          <w:bCs/>
          <w:sz w:val="28"/>
          <w:szCs w:val="28"/>
        </w:rPr>
      </w:pPr>
      <w:r w:rsidRPr="00DA685D">
        <w:rPr>
          <w:b/>
          <w:bCs/>
          <w:sz w:val="28"/>
          <w:szCs w:val="28"/>
        </w:rPr>
        <w:t>Внутрифирменное обучение как процесс непрерывного образования и его особенности</w:t>
      </w:r>
    </w:p>
    <w:p w:rsidR="00171B98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Как сказано, рука бросила меня на землю. Но тут же снова взяла мою голову и придавила вниз так, что я попал мордочкой в какую-то жидкость.. и начал лакать, отчего почувствовал необыкновенную приятность. Теперь я понимаю, что меня ткнули носом в сладкое молоко, что я был голоден и, по мере того как пил, постепенно насыщался.</w:t>
      </w:r>
    </w:p>
    <w:p w:rsidR="00171B98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Э.Т.А. Гофман. Житейские воззрения кота Мура</w:t>
      </w:r>
    </w:p>
    <w:p w:rsidR="00171B98" w:rsidRPr="00DA685D" w:rsidRDefault="00171B98" w:rsidP="00171B98">
      <w:pPr>
        <w:spacing w:before="120"/>
        <w:jc w:val="center"/>
        <w:rPr>
          <w:b/>
          <w:bCs/>
          <w:sz w:val="28"/>
          <w:szCs w:val="28"/>
        </w:rPr>
      </w:pPr>
      <w:r w:rsidRPr="00DA685D">
        <w:rPr>
          <w:b/>
          <w:bCs/>
          <w:sz w:val="28"/>
          <w:szCs w:val="28"/>
        </w:rPr>
        <w:t>Цели прогресса непрерывного образования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Рассматривая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важность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процесса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непрерывного образования в целом, необходимо иметь в виду, что эффективность процесса обучения зависит от успешности каждого отдельного учебного мероприятия. Кумулятивный эффект обучения не может быть получен, если каждое отдельное занятие не будет давать существенного прироста в знаниях, умениях, раскрытии новых возможностей работающих специалистов. Для того чтобы учебные мероприятия проходили более успешно, важно достаточно точно представлять: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1) цели и тип программы обучения;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2) особенности коммуникативного процесса слушателей и преподавателей;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3) специфику деятельности преподавателя, работающего со взрослой аудиторией;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4) отличительные параметры самой аудитории взрослых.</w:t>
      </w:r>
    </w:p>
    <w:p w:rsidR="00171B98" w:rsidRPr="00DA685D" w:rsidRDefault="00171B98" w:rsidP="00171B98">
      <w:pPr>
        <w:spacing w:before="120"/>
        <w:jc w:val="center"/>
        <w:rPr>
          <w:b/>
          <w:bCs/>
          <w:sz w:val="28"/>
          <w:szCs w:val="28"/>
        </w:rPr>
      </w:pPr>
      <w:r w:rsidRPr="00DA685D">
        <w:rPr>
          <w:b/>
          <w:bCs/>
          <w:sz w:val="28"/>
          <w:szCs w:val="28"/>
        </w:rPr>
        <w:t xml:space="preserve">«Сохраняющее» и «инновационное» обучение 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 xml:space="preserve">Можно выделить два типа целей учебных занятий в рамках программ последипломного образования: 1) передачу знаний и 2) формирование определенного арсенала умений, а также развитие потенциала работников. Соответственно, можно говорить о двух разных типах учебных программ — «сохраняющих» и «инновационных». 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Целью «сохраняющего» обучения является усвоение фиксированных взглядов, методов и правил для того, чтобы эффективно работать в известных и повторяющихся ситуациях, для развития способностей обучаемых решать те проблемы, которые актуальны. Этот тип программ особенно эффективен для передачи новых знаний взамен устаревших и устранения пробелов в знаниях и умениях работников и предназначен для поддержания существующей системы деятельности.</w:t>
      </w:r>
    </w:p>
    <w:p w:rsidR="00171B98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Исследователи замечают, что во многих современных организациях сохраняющее обучение в достаточной мере разработано и используется. Поскольку этот тип обучения ориентирован прежде всего на поддержание актуальной ситуации в организации, то подготовка и обучение сотрудников корреспондируются скорее с «работой в прошлом», чем с «работой в будущем» и мало ориентированы на то, что может произойти с организацией и деятельностью работников завтра.</w:t>
      </w:r>
      <w:r>
        <w:rPr>
          <w:sz w:val="24"/>
          <w:szCs w:val="24"/>
        </w:rPr>
        <w:t xml:space="preserve"> 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«Инновационное» обучение ориентировано на перспективу, подготовку организации к работе в новых условиях. Разработке инновационных обучающих программ должен предшествовать прогноз потребности организации в изменении профессионально-кадрового потенциала, исходя из соответствующих изменений во внешней среде, в технологии деятельности и системе управления. «Инновационное» обучение, как правило, имеет дело с проблемами, которые могут оказаться настолько уникальными, что не будет возможности учиться методом проб и ошибок, проблемами, решение которых еще не известно и сама формулировка которых может вызывать споры и сомнения. Поэтому «инновационное» обучение часто игнорировалось, а у многих организаций возникали серьезные трудности, связанные с собственной адаптацией к изменениям окружающей среды. Административный и управленческий персонал обычно хорошо подготовлен к поддерживающему обучению, но обязанность управленца, ориентированного на развитие организации, — обеспечить потенциал для этого развития, что возможно только путем «инновационного» обучения.</w:t>
      </w:r>
    </w:p>
    <w:p w:rsidR="00171B98" w:rsidRPr="00DA685D" w:rsidRDefault="00171B98" w:rsidP="00171B98">
      <w:pPr>
        <w:spacing w:before="120"/>
        <w:jc w:val="center"/>
        <w:rPr>
          <w:b/>
          <w:bCs/>
          <w:sz w:val="28"/>
          <w:szCs w:val="28"/>
        </w:rPr>
      </w:pPr>
      <w:r w:rsidRPr="00DA685D">
        <w:rPr>
          <w:b/>
          <w:bCs/>
          <w:sz w:val="28"/>
          <w:szCs w:val="28"/>
        </w:rPr>
        <w:t>Цели обучения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Цели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обучения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точек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зрения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работодателя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и самого специалиста существенно отличаются. Точка зрения работодателя. Немецкие специалисты В. Бартц и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X.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Шайбл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считают,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позиции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работодателя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целями непрерывного обучения являются: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организация и формирование персонала управления;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 xml:space="preserve">овладение умением определять, понимать и решать проблемы; 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 xml:space="preserve">воспроизводство персонала; 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 xml:space="preserve">интеграция персонала; 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 xml:space="preserve">гибкое формирование персонала; 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адаптация;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внедрение нововведений.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Точка зрения наемного работника. Бартц и Шайбл определяют следующие цели непрерывного образования: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поддержание на соответствующем уровне и повышение профессиональной квалификации;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приобретение профессиональных знаний вне сферы профессиональной деятельности;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приобретение профессиональных знаний о поставщиках и потребителях продукции, банках и других организациях, влияющих на работу фирмы;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развитие способностей в области планирования и организации производства.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 xml:space="preserve">Мотивацией непрерывного обучения в американских компаниях является связь между результатами производственной деятельности каждого работника и предоставлением ему возможности для обучения: ценность сотрудника фирмы определяет количество средств, выделяемых для повышения его квалификации. </w:t>
      </w:r>
    </w:p>
    <w:p w:rsidR="00171B98" w:rsidRPr="00DA685D" w:rsidRDefault="00171B98" w:rsidP="00171B98">
      <w:pPr>
        <w:spacing w:before="120"/>
        <w:jc w:val="center"/>
        <w:rPr>
          <w:b/>
          <w:bCs/>
          <w:sz w:val="28"/>
          <w:szCs w:val="28"/>
        </w:rPr>
      </w:pPr>
      <w:r w:rsidRPr="00DA685D">
        <w:rPr>
          <w:b/>
          <w:bCs/>
          <w:sz w:val="28"/>
          <w:szCs w:val="28"/>
        </w:rPr>
        <w:t xml:space="preserve">Оценка потребности в обучении 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 xml:space="preserve">Планирование программ подготовки — составная часть общего планирования трудовых ресурсов наряду с расчетом потребности в персонале, составлением планов набора, планированием карьеры. 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В целях определения потребности в обучении и планировании образования целесообразно: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1) использовать результаты оценки труда и персонала, выявляющие проблемы, с которыми сталкиваются работники;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2) анализировать план технического обновления;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3) оценивать специфику общих программ подготовки, которую проходят студенты университетов, приходящих на работу в организацию;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4) диагностировать средний уровень подготовленности новых сотрудников.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Исследователи выделяют две основные современные модели подготовки рабочих кадров: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обучение без отрыва от работы. Теоретический курс в профессионально-технической школе и практическая подготовка на предприятии;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обучение с отрывом от работы в специализированных профессионально-технических учебных заведениях и центрах подготовки кадров.</w:t>
      </w:r>
    </w:p>
    <w:p w:rsidR="00171B98" w:rsidRPr="00DA685D" w:rsidRDefault="00171B98" w:rsidP="00171B98">
      <w:pPr>
        <w:spacing w:before="120"/>
        <w:jc w:val="center"/>
        <w:rPr>
          <w:b/>
          <w:bCs/>
          <w:sz w:val="28"/>
          <w:szCs w:val="28"/>
        </w:rPr>
      </w:pPr>
      <w:r w:rsidRPr="00DA685D">
        <w:rPr>
          <w:b/>
          <w:bCs/>
          <w:sz w:val="28"/>
          <w:szCs w:val="28"/>
        </w:rPr>
        <w:t xml:space="preserve">Экспертный и процессуальный подходы к внутрифирменному обучению 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Внутрифирменное обучение — особая сфера подготовки взрослых. Как правило, программы внутрифирменной подготовки создаются специально для конкретного предприятия и ориентированы на развитие персонала и подготовку его к изменениям в организации. Представление о технологии организационных изменений в общем виде зафиксировано в представлениях о консультационных технологиях.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Принимая описанную типологию за основу, можно выделить два основных подхода к организации внутрифирменной подготовки в организации.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1. Экспертный подход — предполагает возможность реализации программы развития организации с решением серьезных проблем организации путем подготовки управленческого персонала на базе знаний и опыта приглашенного консультанта. В рамках такого подхода преподаватель-консультант выступает как носитель экспертного знания, которое может быть применено к конкретной ситуации, сложившейся в организации. Программа обучения должна снабдить слушателей знаниями о типичных проблемах, с которыми они могут столкнуться в ходе своей профессиональной деятельности. В данном случае целью обучения преимущественно является передача вполне конкретных знаний.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2. Процессуальный подход — предполагает возможность реализации программы развития организации лишь в процессе совместной работы преподавателя с персоналом организации. В рамках этого подхода проект предполагаемых действий может быть создан и главное — реализован только при активном участии управленческого персонала организации. Естественно, что в рамках такого подхода к персоналу предъявляются дополнительные требования, связанные в первую очередь с его ориентацией на партнерское взаимодействие с преподавателем-тренером и возможностью активного участия в учебном процессе. В отличие от первого подхода в данном случае у слушателей, помимо набора профессиональных знаний, должна быть сформирована установка на изменение, овладение новыми способами решения проблем как в процессе индивидуальной деятельности, так и освоения эффективных приемов групповой работы. То есть в этом случае целью обучения является не столько передача определенной суммы знаний, сколько формирование ориентации обучаемых на изменение индивидуального и группового поведения.</w:t>
      </w:r>
    </w:p>
    <w:p w:rsidR="00171B98" w:rsidRPr="00DA685D" w:rsidRDefault="00171B98" w:rsidP="00171B98">
      <w:pPr>
        <w:spacing w:before="120"/>
        <w:jc w:val="center"/>
        <w:rPr>
          <w:b/>
          <w:bCs/>
          <w:sz w:val="28"/>
          <w:szCs w:val="28"/>
        </w:rPr>
      </w:pPr>
      <w:r w:rsidRPr="00DA685D">
        <w:rPr>
          <w:b/>
          <w:bCs/>
          <w:sz w:val="28"/>
          <w:szCs w:val="28"/>
        </w:rPr>
        <w:t xml:space="preserve">Типы учебных программ </w:t>
      </w:r>
    </w:p>
    <w:p w:rsidR="00171B98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Исходя из задач организационного развития можно выделить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следующие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типы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учебных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программ внутрифирменной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подготовки,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ориентированных на повышение внешней адаптации или внутренней интеграции организации (рис. 1).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Внешняя адаптация</w:t>
      </w:r>
    </w:p>
    <w:p w:rsidR="00171B98" w:rsidRDefault="006372BD" w:rsidP="00171B98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75pt;height:146.25pt">
            <v:imagedata r:id="rId4" o:title=""/>
          </v:shape>
        </w:pict>
      </w:r>
    </w:p>
    <w:p w:rsidR="00171B98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Рис. 1. Типы учебных программ внутрифирменной подготовки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 xml:space="preserve">С точки зрения направлений в обучении можно выделить пять основных ситуаций (табл. 1). 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Система внутрифирменной подготовки может быть эффективной только в том случае, если будет проанализировано существующее положение, оценена перспектива и сформирован образ желаемого будущего, спрогнозированы изменения, подготовлены проекты изменения, определены сроки и затраты.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Таблица 1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3"/>
        <w:gridCol w:w="3505"/>
        <w:gridCol w:w="4329"/>
      </w:tblGrid>
      <w:tr w:rsidR="00171B98" w:rsidRPr="003B5419" w:rsidTr="00AE5E2A">
        <w:tc>
          <w:tcPr>
            <w:tcW w:w="1026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Ситуация</w:t>
            </w:r>
          </w:p>
        </w:tc>
        <w:tc>
          <w:tcPr>
            <w:tcW w:w="1778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Конкретизация потребности в обучении</w:t>
            </w:r>
          </w:p>
        </w:tc>
        <w:tc>
          <w:tcPr>
            <w:tcW w:w="2196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Метод обучения</w:t>
            </w:r>
          </w:p>
        </w:tc>
      </w:tr>
      <w:tr w:rsidR="00171B98" w:rsidRPr="003B5419" w:rsidTr="00AE5E2A">
        <w:tc>
          <w:tcPr>
            <w:tcW w:w="1026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</w:t>
            </w:r>
          </w:p>
        </w:tc>
        <w:tc>
          <w:tcPr>
            <w:tcW w:w="1778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Специализированные программы обучения (тренинги продаж,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переговоров, креативности)</w:t>
            </w:r>
          </w:p>
        </w:tc>
        <w:tc>
          <w:tcPr>
            <w:tcW w:w="2196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Методы поведенческого тренинга</w:t>
            </w:r>
          </w:p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</w:p>
        </w:tc>
      </w:tr>
      <w:tr w:rsidR="00171B98" w:rsidRPr="003B5419" w:rsidTr="00AE5E2A">
        <w:tc>
          <w:tcPr>
            <w:tcW w:w="1026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2</w:t>
            </w:r>
          </w:p>
        </w:tc>
        <w:tc>
          <w:tcPr>
            <w:tcW w:w="1778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Программы командообразования</w:t>
            </w:r>
          </w:p>
        </w:tc>
        <w:tc>
          <w:tcPr>
            <w:tcW w:w="2196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Активная групповая и межгрупповая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последующей рефлексией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группового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процесса. Деловые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ролевые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игры,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анализ проблем организации</w:t>
            </w:r>
          </w:p>
        </w:tc>
      </w:tr>
      <w:tr w:rsidR="00171B98" w:rsidRPr="003B5419" w:rsidTr="00AE5E2A">
        <w:tc>
          <w:tcPr>
            <w:tcW w:w="1026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3</w:t>
            </w:r>
          </w:p>
        </w:tc>
        <w:tc>
          <w:tcPr>
            <w:tcW w:w="1778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Развитие межличностной и внутрифирменной коммуникации, формирование навыков преодоления конфликтов</w:t>
            </w:r>
          </w:p>
        </w:tc>
        <w:tc>
          <w:tcPr>
            <w:tcW w:w="2196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Тренинг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сензитивности,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ролевые игры, имитационные деловые игры, стажировки,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проектирование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корпоративной культуры</w:t>
            </w:r>
          </w:p>
        </w:tc>
      </w:tr>
      <w:tr w:rsidR="00171B98" w:rsidRPr="003B5419" w:rsidTr="00AE5E2A">
        <w:tc>
          <w:tcPr>
            <w:tcW w:w="1026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4</w:t>
            </w:r>
          </w:p>
        </w:tc>
        <w:tc>
          <w:tcPr>
            <w:tcW w:w="1778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Управленческая подготовка</w:t>
            </w:r>
          </w:p>
        </w:tc>
        <w:tc>
          <w:tcPr>
            <w:tcW w:w="2196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Лекции,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семинары,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практические занятия, учебные деловые игры</w:t>
            </w:r>
          </w:p>
        </w:tc>
      </w:tr>
      <w:tr w:rsidR="00171B98" w:rsidRPr="003B5419" w:rsidTr="00AE5E2A">
        <w:tc>
          <w:tcPr>
            <w:tcW w:w="1026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5</w:t>
            </w:r>
          </w:p>
        </w:tc>
        <w:tc>
          <w:tcPr>
            <w:tcW w:w="1778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Подготовка к организационным инновациям</w:t>
            </w:r>
          </w:p>
        </w:tc>
        <w:tc>
          <w:tcPr>
            <w:tcW w:w="2196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Организационно-мыслительные игры, разработка проектов, анализ ситуаций организации</w:t>
            </w:r>
          </w:p>
        </w:tc>
      </w:tr>
    </w:tbl>
    <w:p w:rsidR="00171B98" w:rsidRPr="00DA685D" w:rsidRDefault="00171B98" w:rsidP="00171B98">
      <w:pPr>
        <w:spacing w:before="120"/>
        <w:jc w:val="center"/>
        <w:rPr>
          <w:b/>
          <w:bCs/>
          <w:sz w:val="28"/>
          <w:szCs w:val="28"/>
        </w:rPr>
      </w:pPr>
      <w:r w:rsidRPr="00DA685D">
        <w:rPr>
          <w:b/>
          <w:bCs/>
          <w:sz w:val="28"/>
          <w:szCs w:val="28"/>
        </w:rPr>
        <w:t>Традиционное и интегрированное обучение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Рассматривая специфику подходов внутрифирменного обучения, можно выделить два направления: традиционное и интегрированное, совмещенное с организационным развитием. Сопоставительный анализ традиционного и интегрированного обучения дает табл. 2.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В 80-х годах расходы на внутрифирменную подготовку кадров составили (суммы даны без учета зарплаты работников, проходивших обучение, если их учесть, суммы почти удвоятся):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IBM — 750 млн. долл. (5% затрат на оплату труда);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«Дженерал электрик» — 260 млн. долл. (2%);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«Ксерокс» — 257 млн. долл. (4%);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«Текас инструменте» — 45 млн. долл. (3,5%);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«Моторолла» — 42 млн. долл. (2,6%).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В среднем по программам подготовки фирмы США тратят 263 долл. на одного работника. В целом затраты на внутрифирменное обучение вполне сопоставимы с затратами на государственные и частные школы (среднее и высшее образование) — примерно 350 млрд. долл.</w:t>
      </w:r>
    </w:p>
    <w:p w:rsidR="00171B98" w:rsidRPr="00DA685D" w:rsidRDefault="00171B98" w:rsidP="00171B98">
      <w:pPr>
        <w:spacing w:before="120"/>
        <w:jc w:val="center"/>
        <w:rPr>
          <w:b/>
          <w:bCs/>
          <w:sz w:val="28"/>
          <w:szCs w:val="28"/>
        </w:rPr>
      </w:pPr>
      <w:r w:rsidRPr="00DA685D">
        <w:rPr>
          <w:b/>
          <w:bCs/>
          <w:sz w:val="28"/>
          <w:szCs w:val="28"/>
        </w:rPr>
        <w:t>Затраты на обучение как прибыльные капиталовложения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Таблица 2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1"/>
        <w:gridCol w:w="3420"/>
        <w:gridCol w:w="3616"/>
      </w:tblGrid>
      <w:tr w:rsidR="00171B98" w:rsidRPr="003B5419" w:rsidTr="00AE5E2A">
        <w:tc>
          <w:tcPr>
            <w:tcW w:w="1431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Параметры</w:t>
            </w:r>
          </w:p>
        </w:tc>
        <w:tc>
          <w:tcPr>
            <w:tcW w:w="1735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Традиционное обучение</w:t>
            </w:r>
          </w:p>
        </w:tc>
        <w:tc>
          <w:tcPr>
            <w:tcW w:w="1835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Интегрированное обучение</w:t>
            </w:r>
          </w:p>
        </w:tc>
      </w:tr>
      <w:tr w:rsidR="00171B98" w:rsidRPr="003B5419" w:rsidTr="00AE5E2A">
        <w:tc>
          <w:tcPr>
            <w:tcW w:w="1431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Объект</w:t>
            </w:r>
          </w:p>
        </w:tc>
        <w:tc>
          <w:tcPr>
            <w:tcW w:w="1735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Отдельный руководитель</w:t>
            </w:r>
          </w:p>
        </w:tc>
        <w:tc>
          <w:tcPr>
            <w:tcW w:w="1835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Группы, межгрупповые связи, руководитель и группа</w:t>
            </w:r>
          </w:p>
        </w:tc>
      </w:tr>
      <w:tr w:rsidR="00171B98" w:rsidRPr="003B5419" w:rsidTr="00AE5E2A">
        <w:tc>
          <w:tcPr>
            <w:tcW w:w="1431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Содержание</w:t>
            </w:r>
          </w:p>
        </w:tc>
        <w:tc>
          <w:tcPr>
            <w:tcW w:w="1735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Основы управленческих знаний и навыков</w:t>
            </w:r>
          </w:p>
        </w:tc>
        <w:tc>
          <w:tcPr>
            <w:tcW w:w="1835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Коммуникативные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навыки,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умения разрешать проблемы</w:t>
            </w:r>
          </w:p>
        </w:tc>
      </w:tr>
      <w:tr w:rsidR="00171B98" w:rsidRPr="003B5419" w:rsidTr="00AE5E2A">
        <w:tc>
          <w:tcPr>
            <w:tcW w:w="1431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Обучающиеся</w:t>
            </w:r>
          </w:p>
        </w:tc>
        <w:tc>
          <w:tcPr>
            <w:tcW w:w="1735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Руководители младшего и среднего звена</w:t>
            </w:r>
          </w:p>
        </w:tc>
        <w:tc>
          <w:tcPr>
            <w:tcW w:w="1835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Все руководители вплоть до высшего звена</w:t>
            </w:r>
          </w:p>
        </w:tc>
      </w:tr>
      <w:tr w:rsidR="00171B98" w:rsidRPr="003B5419" w:rsidTr="00AE5E2A">
        <w:tc>
          <w:tcPr>
            <w:tcW w:w="1431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Учебный процесс</w:t>
            </w:r>
          </w:p>
        </w:tc>
        <w:tc>
          <w:tcPr>
            <w:tcW w:w="1735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Основан на информации и рационализации</w:t>
            </w:r>
          </w:p>
        </w:tc>
        <w:tc>
          <w:tcPr>
            <w:tcW w:w="1835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Основан на информации, рационализации, коммуникации и эмоциях</w:t>
            </w:r>
          </w:p>
        </w:tc>
      </w:tr>
      <w:tr w:rsidR="00171B98" w:rsidRPr="003B5419" w:rsidTr="00AE5E2A">
        <w:tc>
          <w:tcPr>
            <w:tcW w:w="1431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Стиль обучения</w:t>
            </w:r>
          </w:p>
        </w:tc>
        <w:tc>
          <w:tcPr>
            <w:tcW w:w="1735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Исходит из предметов и особенностей преподавателей</w:t>
            </w:r>
          </w:p>
        </w:tc>
        <w:tc>
          <w:tcPr>
            <w:tcW w:w="1835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Исходит из особенностей участников,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их опыта, проблем, отношений и умений консультантов</w:t>
            </w:r>
          </w:p>
        </w:tc>
      </w:tr>
      <w:tr w:rsidR="00171B98" w:rsidRPr="003B5419" w:rsidTr="00AE5E2A">
        <w:tc>
          <w:tcPr>
            <w:tcW w:w="1431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Цели обучения</w:t>
            </w:r>
          </w:p>
        </w:tc>
        <w:tc>
          <w:tcPr>
            <w:tcW w:w="1735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Рациональность и эффективность</w:t>
            </w:r>
          </w:p>
        </w:tc>
        <w:tc>
          <w:tcPr>
            <w:tcW w:w="1835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Приспособление,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изменение,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информирование</w:t>
            </w:r>
          </w:p>
        </w:tc>
      </w:tr>
      <w:tr w:rsidR="00171B98" w:rsidRPr="003B5419" w:rsidTr="00AE5E2A">
        <w:tc>
          <w:tcPr>
            <w:tcW w:w="1431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1735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Местные семинары, курсы</w:t>
            </w:r>
          </w:p>
        </w:tc>
        <w:tc>
          <w:tcPr>
            <w:tcW w:w="1835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Свободный выбор форм в зависимости от необходимости и ситуации</w:t>
            </w:r>
          </w:p>
        </w:tc>
      </w:tr>
      <w:tr w:rsidR="00171B98" w:rsidRPr="003B5419" w:rsidTr="00AE5E2A">
        <w:tc>
          <w:tcPr>
            <w:tcW w:w="1431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Ответственность за проведение</w:t>
            </w:r>
          </w:p>
        </w:tc>
        <w:tc>
          <w:tcPr>
            <w:tcW w:w="1735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Преподаватели, организаторы</w:t>
            </w:r>
          </w:p>
        </w:tc>
        <w:tc>
          <w:tcPr>
            <w:tcW w:w="1835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Участники</w:t>
            </w:r>
          </w:p>
        </w:tc>
      </w:tr>
      <w:tr w:rsidR="00171B98" w:rsidRPr="003B5419" w:rsidTr="00AE5E2A">
        <w:tc>
          <w:tcPr>
            <w:tcW w:w="1431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Стабильность программы</w:t>
            </w:r>
          </w:p>
        </w:tc>
        <w:tc>
          <w:tcPr>
            <w:tcW w:w="1735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Стабильная</w:t>
            </w:r>
          </w:p>
        </w:tc>
        <w:tc>
          <w:tcPr>
            <w:tcW w:w="1835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Гибкая программа, адаптированная к ситуации</w:t>
            </w:r>
          </w:p>
        </w:tc>
      </w:tr>
      <w:tr w:rsidR="00171B98" w:rsidRPr="003B5419" w:rsidTr="00AE5E2A">
        <w:tc>
          <w:tcPr>
            <w:tcW w:w="1431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Концепция обучения</w:t>
            </w:r>
          </w:p>
        </w:tc>
        <w:tc>
          <w:tcPr>
            <w:tcW w:w="1735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Адаптация руководителей к нуждам предприятия</w:t>
            </w:r>
          </w:p>
        </w:tc>
        <w:tc>
          <w:tcPr>
            <w:tcW w:w="1835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Одновременно изменить руководителей и организацию</w:t>
            </w:r>
          </w:p>
        </w:tc>
      </w:tr>
      <w:tr w:rsidR="00171B98" w:rsidRPr="003B5419" w:rsidTr="00AE5E2A">
        <w:tc>
          <w:tcPr>
            <w:tcW w:w="1431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Участие в подготовке учебных и других программ</w:t>
            </w:r>
          </w:p>
        </w:tc>
        <w:tc>
          <w:tcPr>
            <w:tcW w:w="1735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Участники не включены в составление учебных программ</w:t>
            </w:r>
          </w:p>
        </w:tc>
        <w:tc>
          <w:tcPr>
            <w:tcW w:w="1835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Руководители принимают участие в составлении программ изменения предприятия</w:t>
            </w:r>
          </w:p>
        </w:tc>
      </w:tr>
      <w:tr w:rsidR="00171B98" w:rsidRPr="003B5419" w:rsidTr="00AE5E2A">
        <w:tc>
          <w:tcPr>
            <w:tcW w:w="1431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1735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Ориентация на знания, которые могут пригодиться в будущем</w:t>
            </w:r>
          </w:p>
        </w:tc>
        <w:tc>
          <w:tcPr>
            <w:tcW w:w="1835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Ориентация на конкретное изменение</w:t>
            </w:r>
          </w:p>
        </w:tc>
      </w:tr>
      <w:tr w:rsidR="00171B98" w:rsidRPr="003B5419" w:rsidTr="00AE5E2A">
        <w:tc>
          <w:tcPr>
            <w:tcW w:w="1431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Активность участников</w:t>
            </w:r>
          </w:p>
        </w:tc>
        <w:tc>
          <w:tcPr>
            <w:tcW w:w="1735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Как правило, малоактивны</w:t>
            </w:r>
          </w:p>
        </w:tc>
        <w:tc>
          <w:tcPr>
            <w:tcW w:w="1835" w:type="pct"/>
          </w:tcPr>
          <w:p w:rsidR="00171B98" w:rsidRPr="003B5419" w:rsidRDefault="00171B98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Как правило, очень активны</w:t>
            </w:r>
          </w:p>
        </w:tc>
      </w:tr>
    </w:tbl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Уже с 70-х годов большинство руководителей американских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корпорации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стали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рассматривать затраты на обучение как прибыльные капиталовложения, а отделы развития персонала и внутрифирменные учебные центры — как подразделения, участвующие в создании прибыли.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Один из вариантов оценки эффективности может быть основан на теории человеческого капитала, в соответствии с которой знания и квалификация наемных работников рассматриваются как принадлежащий им и приносящий доход капитал, а затраты времени и средств на приобретение этих знаний и навыков — инвестиции в него.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Можно выделить следующие характеристики основного капитала;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цена приобретения;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восстановительная стоимость;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балансовая стоимость.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Цена приобретения — это сумма расходов на набор рабочей силы, ознакомление ее с производством и первоначальное обучение.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Восстановительная стоимость устанавливается для каждой группы сотрудников и выражает стоимость набора и обучения работника каждой профессиональной группы в текущих ценах.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Балансовая стоимость BV рассчитывается по формуле:</w:t>
      </w:r>
    </w:p>
    <w:p w:rsidR="00171B98" w:rsidRPr="003B5419" w:rsidRDefault="006372BD" w:rsidP="00171B98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81pt;height:33pt">
            <v:imagedata r:id="rId5" o:title=""/>
          </v:shape>
        </w:pic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 xml:space="preserve">где r — предполагаемый срок занятости; 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 xml:space="preserve">р — число отработанных лет; 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С — восстановительная стоимость.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В балансе показывается общая сумма вложений в трудовые ресурсы на начало планового периода (затраты на выбор и обучение), указывается объем произведенных в течение отчетного периода инвестиций, подсчитывается величина потерь вследствие увольнений, устаревания знаний и квалификации и выводится стоимость на конец рассматриваемого периода.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Исследователи утверждают, что сейчас более высокий экономический эффект от вложений в развитие персонала, чем от вложений в средства производства. Расчеты показывают, что 1 долл., вложенный в развитие персонала, приносит от 3 до 8 долл. дохода.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По мнению главного экономиста Американского общества содействия обучению и развитию, в 90-е годы XX столетия рост экономики за счет повышения обученности работников составит 2,1%, за счет роста населения — 0,4%, за счет увеличения капитала — 0,5%.</w:t>
      </w:r>
    </w:p>
    <w:p w:rsidR="00171B98" w:rsidRPr="00DA685D" w:rsidRDefault="00171B98" w:rsidP="00171B98">
      <w:pPr>
        <w:spacing w:before="120"/>
        <w:jc w:val="center"/>
        <w:rPr>
          <w:b/>
          <w:bCs/>
          <w:sz w:val="28"/>
          <w:szCs w:val="28"/>
        </w:rPr>
      </w:pPr>
      <w:r w:rsidRPr="00DA685D">
        <w:rPr>
          <w:b/>
          <w:bCs/>
          <w:sz w:val="28"/>
          <w:szCs w:val="28"/>
        </w:rPr>
        <w:t xml:space="preserve">Результаты обучения для разных субъектов 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Другой подход оценки эффективности обучения связан с выделением результатов обучения для разных субъектов и оценкой их качества.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Говоря об эффективности обучения, целесообразно исходить из представления о трех основных субъектах данного процесса: преподавателя, обучаемого (клиента) и заказчика программы обучения.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У каждого из участников данного процесса существует свое представление об эффективности обучения: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преподаватель, как правило, оценивает результат по овладению знаниями, умениями, навыками, активности слушателей в процессе занятий. Для оценки используются экзамены, зачеты, упражнения;</w:t>
      </w:r>
    </w:p>
    <w:p w:rsidR="00171B98" w:rsidRPr="003B5419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участник программы, клиент, как правило, ориентируется на создавшуюся в процессе обучения атмосферу, возникший или пропавший у него интерес к данной теме. Наличию или отсутствию конкретного представления о технологии работы. Для оценки используются опрос, обратная связь по результатам обучения, анкеты;</w:t>
      </w:r>
    </w:p>
    <w:p w:rsidR="00171B98" w:rsidRPr="00171B98" w:rsidRDefault="00171B98" w:rsidP="00171B98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заказчик оценивает качество обучения по набору и количеству тех навыков, которые были перенесены обучавшимся в практическую деятельность. Для оценки используется аттестация работников через определенный (после обучения) промежуток времени, интервью с непосредственным руководителем.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1B98"/>
    <w:rsid w:val="00002B5A"/>
    <w:rsid w:val="0010437E"/>
    <w:rsid w:val="00171B98"/>
    <w:rsid w:val="002764A3"/>
    <w:rsid w:val="00316F32"/>
    <w:rsid w:val="00356CF8"/>
    <w:rsid w:val="003B5419"/>
    <w:rsid w:val="00616072"/>
    <w:rsid w:val="006372BD"/>
    <w:rsid w:val="006A5004"/>
    <w:rsid w:val="00710178"/>
    <w:rsid w:val="007415DD"/>
    <w:rsid w:val="0081563E"/>
    <w:rsid w:val="008B35EE"/>
    <w:rsid w:val="00905CC1"/>
    <w:rsid w:val="00AE5E2A"/>
    <w:rsid w:val="00B42C45"/>
    <w:rsid w:val="00B47B6A"/>
    <w:rsid w:val="00DA685D"/>
    <w:rsid w:val="00EB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D76FA063-7541-4C29-9938-9C6AF068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71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2693</Words>
  <Characters>15353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Внутрифирменное обучение как технология развития кадрового потенциала организации</vt:lpstr>
    </vt:vector>
  </TitlesOfParts>
  <Company>Home</Company>
  <LinksUpToDate>false</LinksUpToDate>
  <CharactersWithSpaces>18010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Внутрифирменное обучение как технология развития кадрового потенциала организации</dc:title>
  <dc:subject/>
  <dc:creator>User</dc:creator>
  <cp:keywords/>
  <dc:description/>
  <cp:lastModifiedBy>admin</cp:lastModifiedBy>
  <cp:revision>2</cp:revision>
  <dcterms:created xsi:type="dcterms:W3CDTF">2014-02-14T21:28:00Z</dcterms:created>
  <dcterms:modified xsi:type="dcterms:W3CDTF">2014-02-14T21:28:00Z</dcterms:modified>
</cp:coreProperties>
</file>