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0A535A" w:rsidRDefault="000A535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8D463A" w:rsidRDefault="008D463A" w:rsidP="008D463A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8D463A">
        <w:rPr>
          <w:b/>
          <w:bCs/>
          <w:sz w:val="28"/>
          <w:szCs w:val="28"/>
        </w:rPr>
        <w:t>ВОДОГОСПОДАРСЬКИЙ БАЛАНС</w:t>
      </w:r>
    </w:p>
    <w:p w:rsidR="000A535A" w:rsidRPr="000A535A" w:rsidRDefault="000A535A" w:rsidP="008D463A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9B00BF" w:rsidRPr="000A535A" w:rsidRDefault="000A535A" w:rsidP="000A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463A" w:rsidRPr="00261210">
        <w:rPr>
          <w:sz w:val="28"/>
        </w:rPr>
        <w:t>ПЛАН</w:t>
      </w:r>
    </w:p>
    <w:p w:rsidR="00261210" w:rsidRPr="00261210" w:rsidRDefault="00261210" w:rsidP="00261210">
      <w:pPr>
        <w:spacing w:line="360" w:lineRule="auto"/>
        <w:ind w:firstLine="709"/>
        <w:jc w:val="both"/>
        <w:rPr>
          <w:sz w:val="28"/>
        </w:rPr>
      </w:pPr>
    </w:p>
    <w:p w:rsidR="009B00BF" w:rsidRPr="00261210" w:rsidRDefault="00261210" w:rsidP="00261210">
      <w:pPr>
        <w:pStyle w:val="21"/>
        <w:numPr>
          <w:ilvl w:val="0"/>
          <w:numId w:val="2"/>
        </w:numPr>
        <w:tabs>
          <w:tab w:val="clear" w:pos="1069"/>
          <w:tab w:val="num" w:pos="300"/>
        </w:tabs>
        <w:ind w:left="0" w:firstLine="0"/>
      </w:pPr>
      <w:r w:rsidRPr="00261210">
        <w:t>Види водогосподарських балансів</w:t>
      </w:r>
    </w:p>
    <w:p w:rsidR="009B00BF" w:rsidRPr="00261210" w:rsidRDefault="009B00BF" w:rsidP="00261210">
      <w:pPr>
        <w:numPr>
          <w:ilvl w:val="0"/>
          <w:numId w:val="2"/>
        </w:numPr>
        <w:tabs>
          <w:tab w:val="clear" w:pos="1069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261210">
        <w:rPr>
          <w:sz w:val="28"/>
        </w:rPr>
        <w:t>Основні положення склад</w:t>
      </w:r>
      <w:r w:rsidR="00261210" w:rsidRPr="00261210">
        <w:rPr>
          <w:sz w:val="28"/>
        </w:rPr>
        <w:t>ання водогосподарських балансів</w:t>
      </w:r>
    </w:p>
    <w:p w:rsidR="009B00BF" w:rsidRPr="00261210" w:rsidRDefault="009B00BF" w:rsidP="00261210">
      <w:pPr>
        <w:numPr>
          <w:ilvl w:val="0"/>
          <w:numId w:val="2"/>
        </w:numPr>
        <w:tabs>
          <w:tab w:val="clear" w:pos="1069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261210">
        <w:rPr>
          <w:sz w:val="28"/>
        </w:rPr>
        <w:t>Склад</w:t>
      </w:r>
      <w:r w:rsidR="00261210" w:rsidRPr="00261210">
        <w:rPr>
          <w:sz w:val="28"/>
        </w:rPr>
        <w:t>ання водогосподарських балансів</w:t>
      </w:r>
    </w:p>
    <w:p w:rsidR="009B00BF" w:rsidRPr="000A535A" w:rsidRDefault="009B00BF" w:rsidP="00261210">
      <w:pPr>
        <w:numPr>
          <w:ilvl w:val="0"/>
          <w:numId w:val="2"/>
        </w:numPr>
        <w:tabs>
          <w:tab w:val="clear" w:pos="1069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261210">
        <w:rPr>
          <w:sz w:val="28"/>
        </w:rPr>
        <w:t>Підсу</w:t>
      </w:r>
      <w:r w:rsidR="00261210" w:rsidRPr="00261210">
        <w:rPr>
          <w:sz w:val="28"/>
        </w:rPr>
        <w:t>мковий водогосподарський баланс</w:t>
      </w:r>
    </w:p>
    <w:p w:rsidR="000A535A" w:rsidRDefault="000A535A" w:rsidP="000A535A">
      <w:pPr>
        <w:spacing w:line="360" w:lineRule="auto"/>
        <w:jc w:val="both"/>
        <w:rPr>
          <w:sz w:val="28"/>
        </w:rPr>
      </w:pPr>
      <w:r>
        <w:rPr>
          <w:sz w:val="28"/>
        </w:rPr>
        <w:t>Література</w:t>
      </w:r>
    </w:p>
    <w:p w:rsidR="000A535A" w:rsidRPr="00261210" w:rsidRDefault="000A535A" w:rsidP="000A535A">
      <w:pPr>
        <w:spacing w:line="360" w:lineRule="auto"/>
        <w:jc w:val="both"/>
        <w:rPr>
          <w:sz w:val="28"/>
        </w:rPr>
      </w:pPr>
    </w:p>
    <w:p w:rsidR="009B00BF" w:rsidRPr="00261210" w:rsidRDefault="009B00BF" w:rsidP="00261210">
      <w:pPr>
        <w:pStyle w:val="9"/>
        <w:tabs>
          <w:tab w:val="left" w:pos="426"/>
        </w:tabs>
        <w:spacing w:line="360" w:lineRule="auto"/>
        <w:jc w:val="both"/>
        <w:rPr>
          <w:b w:val="0"/>
          <w:bCs/>
        </w:rPr>
      </w:pPr>
      <w:r w:rsidRPr="00261210">
        <w:rPr>
          <w:b w:val="0"/>
          <w:bCs/>
        </w:rPr>
        <w:br w:type="page"/>
      </w:r>
      <w:r w:rsidR="008D463A">
        <w:rPr>
          <w:b w:val="0"/>
          <w:bCs/>
        </w:rPr>
        <w:t>ВСТУП</w:t>
      </w:r>
    </w:p>
    <w:p w:rsidR="009B00BF" w:rsidRPr="00261210" w:rsidRDefault="009B00BF" w:rsidP="00261210">
      <w:pPr>
        <w:spacing w:line="360" w:lineRule="auto"/>
        <w:ind w:firstLine="709"/>
        <w:jc w:val="both"/>
        <w:rPr>
          <w:sz w:val="28"/>
        </w:rPr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До недавнього часу воду, як матеріальний ресурс, практично не розглядали і витрачали нераціонально, а існуючий облік її наявності, стану і використання незрівнянний, порівняно з наявністю і використанням інших матеріальних ресурсів. В той же час, правильна уява про кількість і стан водних ресурсів – важливе перед посилання для їх раціонального використання. Велике значення для такої уяви належить водогосподарському балансу (ВГБ), який передбачає кількісне співставлення експлуатаційних водних ресурсів з потребами у воді населення і народного господарства даної території. Водогосподарський баланс сприяє складанню узгоджених планів використання водних ресурсів, полегшує дослідження очікуваних пропорцій в напрямку їх використання.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Водогосподарський баланс виступає, як одне із джерел вихідної інформації при плануванні і експлуатації об’єктів водного господарства.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Отже, водогосподарський баланс є відображення складної взаємодії водних ресурсів, формування яких зумовлене природними і антропогенними факторами, з потребами у воді людського суспільства, які визначаються економічними, технологічними і соціальними факторами.</w:t>
      </w:r>
    </w:p>
    <w:p w:rsidR="009B00BF" w:rsidRDefault="009B00BF" w:rsidP="00261210">
      <w:pPr>
        <w:pStyle w:val="21"/>
        <w:tabs>
          <w:tab w:val="left" w:pos="426"/>
        </w:tabs>
        <w:rPr>
          <w:lang w:val="ru-RU"/>
        </w:rPr>
      </w:pPr>
      <w:r w:rsidRPr="00261210">
        <w:t>Подальший розвиток народного господарства вимагає складання і використання різного виду водогосподарських балансів.</w:t>
      </w:r>
    </w:p>
    <w:p w:rsidR="000A535A" w:rsidRDefault="000A535A" w:rsidP="00261210">
      <w:pPr>
        <w:pStyle w:val="21"/>
        <w:tabs>
          <w:tab w:val="left" w:pos="426"/>
        </w:tabs>
        <w:rPr>
          <w:lang w:val="ru-RU"/>
        </w:rPr>
      </w:pPr>
    </w:p>
    <w:p w:rsidR="000A535A" w:rsidRPr="000A535A" w:rsidRDefault="000A535A" w:rsidP="00261210">
      <w:pPr>
        <w:pStyle w:val="21"/>
        <w:tabs>
          <w:tab w:val="left" w:pos="426"/>
        </w:tabs>
        <w:rPr>
          <w:lang w:val="ru-RU"/>
        </w:rPr>
      </w:pPr>
    </w:p>
    <w:p w:rsidR="009B00BF" w:rsidRPr="00261210" w:rsidRDefault="00443512" w:rsidP="00261210">
      <w:pPr>
        <w:pStyle w:val="21"/>
        <w:numPr>
          <w:ilvl w:val="0"/>
          <w:numId w:val="1"/>
        </w:numPr>
        <w:tabs>
          <w:tab w:val="left" w:pos="426"/>
        </w:tabs>
        <w:ind w:left="0" w:firstLine="709"/>
      </w:pPr>
      <w:r>
        <w:br w:type="page"/>
        <w:t>ВИДИ ВОДОГОСПОДАРСЬКИХ БАЛАНСІВ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Розрізняють різні </w:t>
      </w:r>
      <w:r w:rsidR="00443512">
        <w:t>види водогосподарських балансів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u w:val="single"/>
        </w:rPr>
        <w:t>Звітний</w:t>
      </w:r>
      <w:r w:rsidRPr="00261210">
        <w:t xml:space="preserve"> – відображає вже досягнуте використання водних ресурсів і служить для аналізу росту водоспоживання в окремих районах країни, умов його забезпечення, ефективності роботи існуючих водогосподарських систем і доцільності використання водних ресурсів.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u w:val="single"/>
        </w:rPr>
        <w:t>Оперативний</w:t>
      </w:r>
      <w:r w:rsidRPr="00261210">
        <w:t xml:space="preserve"> – розробляється на нинішній рік для особливо напружених за водоспоживанням річкових басейнів з метою ефективного розподілу очікуваних водних ресурсів між окремими галузями народного господарства чи об’єктами.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u w:val="single"/>
        </w:rPr>
        <w:t>Плановий</w:t>
      </w:r>
      <w:r w:rsidRPr="00261210">
        <w:t xml:space="preserve"> – розробляється у відповідності з державними планами розвитку народного господарства, як їх необхідна складова частина і він включає перелік і об’єм водогосподарських заходів.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u w:val="single"/>
        </w:rPr>
        <w:t>Перспективний</w:t>
      </w:r>
      <w:r w:rsidRPr="00261210">
        <w:t xml:space="preserve"> – складається на перспективу розвитку народного господарства для правильного обліку і оцінки впливу водного фактору на розташування і розвиток продуктивних сил, обґрунтування довгострокових планів науково-дослідницьких і проектно-вишукувальних робіт.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Водогосподарський балансовий метод застосовують для аналізу і планування водних ресурсів, як правило, на трьох рівнях: в цілому по країні (за загальними показниками); по окремим водоспоживачам і водокористувачам (зрошення, водопостачання, і т.п.); по окремим водогосподарським</w:t>
      </w:r>
      <w:r w:rsidR="00261210" w:rsidRPr="00261210">
        <w:t xml:space="preserve"> </w:t>
      </w:r>
      <w:r w:rsidRPr="00261210">
        <w:t>районам.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numPr>
          <w:ilvl w:val="0"/>
          <w:numId w:val="1"/>
        </w:numPr>
        <w:tabs>
          <w:tab w:val="left" w:pos="426"/>
        </w:tabs>
        <w:ind w:left="0" w:firstLine="709"/>
      </w:pPr>
      <w:r w:rsidRPr="00261210">
        <w:t>ОСНОВНІ ПОЛОЖЕННЯ</w:t>
      </w:r>
      <w:r w:rsidR="00261210" w:rsidRPr="00261210">
        <w:t xml:space="preserve"> </w:t>
      </w:r>
      <w:r w:rsidRPr="00261210">
        <w:t>СКЛАДАННЯ ВОДОГОСПОДАРСЬ</w:t>
      </w:r>
      <w:r w:rsidR="00443512">
        <w:t>КИХ БАЛАНСІВ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складанні ВГБ необхідно вирішувати такі задачі: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провести оцінку поверхневих і підземних вод із кількісної, так із якісної сторони;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виявити вимоги різних водокористувачів і встановити величину без поворотної втрати води;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визначити об’єми води, які можуть бути запропоновані водокористувачам в природних умовах, а також при проведенні додаткових заходів з регулювання стоку;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встановити вільні об’єми стоку, які лишаються в річці, для їх використання за межами даної території.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процесі складання ВГБ ступінь надійності повного задоволення потреби у воді визначається нормативом розрахункової забезпеченості. Цей критерій є вихідним при складанні балансу.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зв’язку з тим, що річковий стік має стихійні коливання протягом сезону і років, кожен водогосподарський розрахунок потрібно виконувати з відомим ступенем наближення. При цьому кожен етап використання водних ресурсів в межах даного району повинен розглядатись</w:t>
      </w:r>
      <w:r w:rsidR="00261210" w:rsidRPr="00261210">
        <w:t xml:space="preserve"> </w:t>
      </w:r>
      <w:r w:rsidRPr="00261210">
        <w:t>залежно від середньорічного стоку річки шляхом порівняння різних варіантів.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Велике значення при складанні ВГБ має врахування господарської діяльності людини. Але оцінка цього впливу поки що досить наближена.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Водогосподарський баланс є основоположним при економічній оцінці раціонального використання водних ресурсів і при визначенні плати за воду.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ВГБ складається звичайно для річок, або їх ділянок, в межах яких планується створення водогосподарських комплексів. При цьому по всій довжині річки здійснюється перерозподіл води між окремими водокористувачами. Кожен з них, розташований нижче за течією, використовує стік, перерозподілений верховими водосховищами, а також стік притоку річок, які впадають в основну річку нижче цих водосховищ.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Таким чином, вихідні гідрологічні дані повинні базуватись на загальному для всіх водокористувачів періоді часу і бути представленими у вигляді</w:t>
      </w:r>
      <w:r w:rsidR="00261210" w:rsidRPr="00261210">
        <w:t xml:space="preserve"> </w:t>
      </w:r>
      <w:r w:rsidRPr="00261210">
        <w:t>гідрографів притоку в кожний б’єф водогосподарської системи. Крім того, необхідно ретельно ув’язувати між собою гідрологічні і гідравлічні характеристики ділянки річки, для якої складається ВГБ.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Питання, які пов’язані з регулюванням стоку водосховищами і з об’ємами води, що можуть використовуватись для різних цілей, вирішуються на основі деяких ймовірних методів, які дають можливість врахувати поєднання років різної водності.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У водогосподарському плануванні існує два </w:t>
      </w:r>
      <w:r w:rsidR="00443512" w:rsidRPr="00261210">
        <w:t>взаємозв’язаних</w:t>
      </w:r>
      <w:r w:rsidRPr="00261210">
        <w:t xml:space="preserve"> визначення. Це, так звана, розрахункова забезпеченість – р і гарантована віддача. Під розрахунковою забезпеченістю розуміється ймовірне число років у відсотках від загального числа років всього розрахункового періоду, коли гарантовані водовіддачі забезпечуються повністю.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Розрахункова забезпеченість є одним з головних вихідним параметром при складанні водогосподарського балансу. Чим він вищий, тим більш стійким і надійним буде функціонування тієї чи іншої ділянки водогосподарського</w:t>
      </w:r>
      <w:r w:rsidR="00261210" w:rsidRPr="00261210">
        <w:t xml:space="preserve"> </w:t>
      </w:r>
      <w:r w:rsidRPr="00261210">
        <w:t>комплексу. Від величини розрахункової забезпеченості залежать висота греблі гідровузла, подача насосних станцій, потужність ГЕС, розміри поперечних перерізів великих каналів і т.п. Відповідно росту масштабів водогосподарських заходів збільшується їх вартість. Разом з тим, зниження розрахункової забезпеченості приводить до обмеження подачі води і енергії відповідним підприємствам, а це приводить до росту збитків.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Обґрунтувати розрахункову забезпеченість досить складно. Це пов’язано з великою невизначеністю при економічній оцінці народногосподарського збитку, що пояснюється скороченням подачі води. Вірніше було б розглядати ряд варіантів забезпечення потреби у воді того чи іншого об’єкту і провести їх техніко-економічне порівняння, що дало б можливість більш повно обґрунтувати розрахункову забезпеченість.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визначенні розрахункової забезпеченості виходять із практичних даних. Рекомендуються такі розрахункові значення в %: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питне водопостачання</w:t>
      </w:r>
      <w:r w:rsidR="00261210" w:rsidRPr="00261210">
        <w:t xml:space="preserve"> </w:t>
      </w:r>
      <w:r w:rsidRPr="00261210">
        <w:t>– 97...99;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промислове водопостачання</w:t>
      </w:r>
      <w:r w:rsidR="00261210" w:rsidRPr="00261210">
        <w:t xml:space="preserve"> </w:t>
      </w:r>
      <w:r w:rsidRPr="00261210">
        <w:t>– 95...97;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зрошення</w:t>
      </w:r>
      <w:r w:rsidR="00261210" w:rsidRPr="00261210">
        <w:t xml:space="preserve"> </w:t>
      </w:r>
      <w:r w:rsidRPr="00261210">
        <w:t>– 75...80;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гідроенергетика</w:t>
      </w:r>
      <w:r w:rsidR="00261210" w:rsidRPr="00261210">
        <w:t xml:space="preserve"> </w:t>
      </w:r>
      <w:r w:rsidRPr="00261210">
        <w:t>– 90...95;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- водний транспорт</w:t>
      </w:r>
      <w:r w:rsidR="00261210" w:rsidRPr="00261210">
        <w:t xml:space="preserve"> </w:t>
      </w:r>
      <w:r w:rsidRPr="00261210">
        <w:t>– 80...90.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Наведені цифри є наближеними і вони вимагають корегування в кожному окремому випадку.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розробці ВГБ необхідно оперувати даними про безповоротні втрати води і їх зміну в часі, а також враховувати удосконалення системи промислового і сільськогосподарського виробництва. В зв’язку з цим, особливого значення набуває правильне прогнозування розвитку оборотного і послідовного використання води у промисловості, скорочення зрошувальних норм і здійснення заходів, направлених на всебічну економію води.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ВГБ повинні ув’язуватись з варіантами розташування продуктивних сил. При цьому необхідно враховувати наявність корисних копалин і труднощі при Їх розробці, </w:t>
      </w:r>
      <w:r w:rsidR="00443512" w:rsidRPr="00261210">
        <w:t>ґрунтові</w:t>
      </w:r>
      <w:r w:rsidRPr="00261210">
        <w:t xml:space="preserve"> і кліматичні умови для вирощування сільськогосподарських культур, транспортні зв’язки та інші фактори.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У випадку дефіциту води приходиться здійснювати заміну окремих учасників водогосподарського комплексу рівноцінними варіантами.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Для маловодних районів досить важливе значення має фактор найбільш ефективного використання води. В якості критеріїв застосовуються деякі економічні показники у вигляді валового доходу чи валового продукту, які приходяться на одиничний об’єм води.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вирішенні кола питань, щодо ефективності використання води, необхідно встановлювати не тільки розміри водоспоживання і безповоротних втрат, але й оперувати даними про ступінь впливу різних видів водокористування на якість водних ресурсів.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Іноді, за санітарними вимогами, для відповідного розчинення стічної води необхідно передбачати подачу додаткового об’єму чистої води, що враховується при складанні водогосподарського балансу.</w:t>
      </w:r>
    </w:p>
    <w:p w:rsidR="009B00BF" w:rsidRPr="00261210" w:rsidRDefault="00443512" w:rsidP="00261210">
      <w:pPr>
        <w:pStyle w:val="21"/>
        <w:numPr>
          <w:ilvl w:val="0"/>
          <w:numId w:val="1"/>
        </w:numPr>
        <w:tabs>
          <w:tab w:val="left" w:pos="426"/>
        </w:tabs>
        <w:ind w:left="0" w:firstLine="709"/>
      </w:pPr>
      <w:r>
        <w:br w:type="page"/>
      </w:r>
      <w:r w:rsidR="009B00BF" w:rsidRPr="00261210">
        <w:t>СКЛАД</w:t>
      </w:r>
      <w:r>
        <w:t>АННЯ ВОДОГОСПОДАРСЬКИХ БАЛАНСІВ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Водогосподарські баланси складають і аналізують окремо для підземних і поверхневих вод.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Складання ВГБ для підземних вод полягає в порівнянні забезпечення потреб водоспоживачів на даній ділянці за рахунок підземних вод і ресурсів цих вод, доступних для використання на даному розрахунковому рівні.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Позитивним балансом є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Р – </w:t>
      </w:r>
      <w:r w:rsidRPr="00261210">
        <w:rPr>
          <w:lang w:val="en-US"/>
        </w:rPr>
        <w:t>Q</w:t>
      </w:r>
      <w:r w:rsidRPr="00261210">
        <w:rPr>
          <w:vertAlign w:val="subscript"/>
        </w:rPr>
        <w:t>П</w:t>
      </w:r>
      <w:r w:rsidRPr="00261210">
        <w:t xml:space="preserve"> </w:t>
      </w:r>
      <w:r w:rsidRPr="00261210">
        <w:rPr>
          <w:szCs w:val="28"/>
        </w:rPr>
        <w:sym w:font="Symbol" w:char="F03E"/>
      </w:r>
      <w:r w:rsidRPr="00261210">
        <w:t xml:space="preserve"> 0,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де</w:t>
      </w:r>
      <w:r w:rsidR="00261210" w:rsidRPr="00261210">
        <w:t xml:space="preserve"> </w:t>
      </w:r>
      <w:r w:rsidRPr="00261210">
        <w:t>Р – експлуатаційні запаси, або природні ресурси, підземних вод,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які доступні для використання в даному районі;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lang w:val="en-US"/>
        </w:rPr>
        <w:t>Q</w:t>
      </w:r>
      <w:r w:rsidRPr="00261210">
        <w:rPr>
          <w:vertAlign w:val="subscript"/>
        </w:rPr>
        <w:t>П</w:t>
      </w:r>
      <w:r w:rsidRPr="00261210">
        <w:t xml:space="preserve"> – сумарний відбір підземних </w:t>
      </w:r>
      <w:r w:rsidR="00443512">
        <w:t>вод, передбачений на даному роз</w:t>
      </w:r>
      <w:r w:rsidR="00261210" w:rsidRPr="00261210">
        <w:t xml:space="preserve"> </w:t>
      </w:r>
      <w:r w:rsidRPr="00261210">
        <w:t>рахунковому рівні.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У випадку негативного балансу підземних вод розглядають можливості компенсації за рахунок збільшення забору поверхневих вод, штучного поповнення і збагачення підземних вод. ВГБ для підземних вод складають для одного року.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складанні ВГБ на далеку перспективу не потрібно виділяти підземні води в самостійну категорію. Це пов’язане з тим, щоб не переоцінити можливості використання водних ресурсів в даному районі, оскільки підземні води є джерелом живлення річкового стоку, об’єми і витрати якого фіксуються з достатньою точністю.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Водогосподарський баланс для поверхневих вод складають для кожної ділянки і аналізують в річному розмірі для 50 %-ї забезпеченості, а також за рік, місяць і сезон для середньо-засушливих (75 %, 80 %, 85 %) і гостро-засушливих (95 %) років при заданих рівнях розвитку народного господарства.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Рівняння водогосподарського балансу для поверхневих вод за кожен проміжок часу на даній ділянці виглядає так: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lang w:val="en-US"/>
        </w:rPr>
        <w:t>B</w:t>
      </w:r>
      <w:r w:rsidRPr="00261210">
        <w:rPr>
          <w:lang w:val="ru-RU"/>
        </w:rPr>
        <w:t xml:space="preserve"> = </w:t>
      </w:r>
      <w:r w:rsidRPr="00261210">
        <w:rPr>
          <w:lang w:val="en-US"/>
        </w:rPr>
        <w:t>R</w:t>
      </w:r>
      <w:r w:rsidRPr="00261210">
        <w:rPr>
          <w:vertAlign w:val="subscript"/>
          <w:lang w:val="en-US"/>
        </w:rPr>
        <w:t>B</w:t>
      </w:r>
      <w:r w:rsidRPr="00261210">
        <w:rPr>
          <w:lang w:val="ru-RU"/>
        </w:rPr>
        <w:t xml:space="preserve"> + </w:t>
      </w: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R</w:t>
      </w:r>
      <w:r w:rsidRPr="00261210">
        <w:rPr>
          <w:lang w:val="ru-RU"/>
        </w:rPr>
        <w:t xml:space="preserve"> - </w:t>
      </w:r>
      <w:r w:rsidRPr="00261210">
        <w:rPr>
          <w:szCs w:val="28"/>
          <w:lang w:val="en-US"/>
        </w:rPr>
        <w:sym w:font="Symbol" w:char="F079"/>
      </w:r>
      <w:r w:rsidRPr="00261210">
        <w:rPr>
          <w:lang w:val="ru-RU"/>
        </w:rPr>
        <w:t xml:space="preserve"> - </w:t>
      </w:r>
      <w:r w:rsidRPr="00261210">
        <w:rPr>
          <w:lang w:val="en-US"/>
        </w:rPr>
        <w:t>T</w:t>
      </w:r>
      <w:r w:rsidRPr="00261210">
        <w:rPr>
          <w:lang w:val="ru-RU"/>
        </w:rPr>
        <w:t xml:space="preserve"> </w:t>
      </w:r>
      <w:r w:rsidRPr="00261210">
        <w:rPr>
          <w:szCs w:val="28"/>
          <w:lang w:val="en-US"/>
        </w:rPr>
        <w:sym w:font="Symbol" w:char="F0B1"/>
      </w:r>
      <w:r w:rsidRPr="00261210">
        <w:rPr>
          <w:lang w:val="ru-RU"/>
        </w:rPr>
        <w:t xml:space="preserve"> </w:t>
      </w: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V</w:t>
      </w:r>
      <w:r w:rsidRPr="00261210">
        <w:t>,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де</w:t>
      </w:r>
      <w:r w:rsidR="00261210" w:rsidRPr="00261210">
        <w:t xml:space="preserve"> </w:t>
      </w:r>
      <w:r w:rsidRPr="00261210">
        <w:rPr>
          <w:lang w:val="en-US"/>
        </w:rPr>
        <w:t>R</w:t>
      </w:r>
      <w:r w:rsidRPr="00261210">
        <w:rPr>
          <w:vertAlign w:val="subscript"/>
          <w:lang w:val="en-US"/>
        </w:rPr>
        <w:t>B</w:t>
      </w:r>
      <w:r w:rsidRPr="00261210">
        <w:t xml:space="preserve"> – стік, який поступає на дану ділянку з інших територій;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R</w:t>
      </w:r>
      <w:r w:rsidRPr="00261210">
        <w:t xml:space="preserve"> – стік, який формується на даній ділянці;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  <w:lang w:val="en-US"/>
        </w:rPr>
        <w:sym w:font="Symbol" w:char="F079"/>
      </w:r>
      <w:r w:rsidR="00261210" w:rsidRPr="00261210">
        <w:t xml:space="preserve"> </w:t>
      </w:r>
      <w:r w:rsidRPr="00261210">
        <w:t>-</w:t>
      </w:r>
      <w:r w:rsidR="00261210" w:rsidRPr="00261210">
        <w:t xml:space="preserve"> </w:t>
      </w:r>
      <w:r w:rsidRPr="00261210">
        <w:t>безповоротне споживання поверхневих вод;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  <w:lang w:val="en-US"/>
        </w:rPr>
        <w:sym w:font="Symbol" w:char="F079"/>
      </w:r>
      <w:r w:rsidRPr="00261210">
        <w:t xml:space="preserve"> =</w:t>
      </w:r>
      <w:r w:rsidR="00261210" w:rsidRPr="00261210">
        <w:t xml:space="preserve"> </w:t>
      </w: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rPr>
          <w:lang w:val="ru-RU"/>
        </w:rPr>
        <w:t xml:space="preserve"> + </w:t>
      </w: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rPr>
          <w:lang w:val="ru-RU"/>
        </w:rPr>
        <w:t xml:space="preserve"> – </w:t>
      </w:r>
      <w:r w:rsidRPr="00261210">
        <w:rPr>
          <w:lang w:val="en-US"/>
        </w:rPr>
        <w:t>q</w:t>
      </w:r>
      <w:r w:rsidRPr="00261210">
        <w:rPr>
          <w:vertAlign w:val="subscript"/>
        </w:rPr>
        <w:t>ПОВТ</w:t>
      </w:r>
      <w:r w:rsidRPr="00261210">
        <w:t>,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t xml:space="preserve"> – сумарний відбір річкових вод водоспоживачами, які забезпечуються поверхневими водами, а також для подачі на інші тер</w:t>
      </w:r>
      <w:r w:rsidR="00443512">
        <w:t>и</w:t>
      </w:r>
      <w:r w:rsidRPr="00261210">
        <w:t>торії;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rPr>
          <w:lang w:val="ru-RU"/>
        </w:rPr>
        <w:t xml:space="preserve"> – </w:t>
      </w:r>
      <w:r w:rsidRPr="00261210">
        <w:t>зменшення річкового стоку за рахунок відбору підземних вод;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lang w:val="en-US"/>
        </w:rPr>
        <w:t>q</w:t>
      </w:r>
      <w:r w:rsidRPr="00261210">
        <w:rPr>
          <w:vertAlign w:val="subscript"/>
        </w:rPr>
        <w:t>ПОВТ</w:t>
      </w:r>
      <w:r w:rsidRPr="00261210">
        <w:t xml:space="preserve"> – стічні води, які можуть бути використані повторно;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Т – потрібний транзитний попуск в кінцевому створі в інтересах</w:t>
      </w:r>
      <w:r w:rsidR="00261210" w:rsidRPr="00261210">
        <w:t xml:space="preserve"> </w:t>
      </w:r>
      <w:r w:rsidRPr="00261210">
        <w:t>водокористувачів;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V</w:t>
      </w:r>
      <w:r w:rsidRPr="00261210">
        <w:rPr>
          <w:lang w:val="ru-RU"/>
        </w:rPr>
        <w:t xml:space="preserve"> – </w:t>
      </w:r>
      <w:r w:rsidRPr="00261210">
        <w:t>наповнення ( - ) чи спрацювання ( + ) водосховища;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– підсумок водогосподарського балансу.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Ресурси поверхневих вод враховують у ВГБ в їх природному стані, тобто об’єм річного стоку і його </w:t>
      </w:r>
      <w:r w:rsidR="00443512" w:rsidRPr="00261210">
        <w:t>внутрішньорічний</w:t>
      </w:r>
      <w:r w:rsidRPr="00261210">
        <w:t xml:space="preserve"> розподіл приймають таким, яким він формується до створення водогосподарського комплексу.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У ВГБ прибуткова частина представлена природними водними ресурсами, використання яких економічно доцільне на даному етапі розвитку продуктивних сил. Витратна частина включає потреби у воді всього комплексу водоспоживачів і водокористувачів. Результат балансу – співвідношення між його прибутковою і витратною частинами.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При складанні ВГБ можливі різні співвідношення між вказаними частинами, а саме: водні ресурси достатні і їх розподіл в часі у всіх точках території забезпечує покриття графіка водоспоживання з урахуванням необхідних транзитних попусків, тобто В </w:t>
      </w:r>
      <w:r w:rsidRPr="00261210">
        <w:rPr>
          <w:szCs w:val="28"/>
        </w:rPr>
        <w:sym w:font="Symbol" w:char="F03E"/>
      </w:r>
      <w:r w:rsidRPr="00261210">
        <w:t xml:space="preserve"> 0. В цьому випадку немає дефіциту води в даному регіоні. З метою підвищення економічної ефективності використання водних ресурсів можливий розвиток і розширення галузей народного господарства.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 xml:space="preserve">При В </w:t>
      </w:r>
      <w:r w:rsidRPr="00261210">
        <w:rPr>
          <w:szCs w:val="28"/>
        </w:rPr>
        <w:sym w:font="Symbol" w:char="F03C"/>
      </w:r>
      <w:r w:rsidRPr="00261210">
        <w:t xml:space="preserve"> 0 абсолютні значення балансу чисельно характеризують дефіцит води на ділянці, який необхідно усунути шляхом проведення заходів з регулювання і перерозподілу стоку.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Якщо за підрахунками баланс від’ємний для року 95 %-ї забезпеченості за поверхневим стоком, то вводяться коефіцієнти на скорочення подачі води менш відповідальним споживачам, тобто у яких розрахункова забезпеченість складає менше 95 %.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цьому випадку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rPr>
          <w:szCs w:val="28"/>
        </w:rPr>
        <w:sym w:font="Symbol" w:char="F079"/>
      </w:r>
      <w:r w:rsidRPr="00261210">
        <w:rPr>
          <w:szCs w:val="28"/>
        </w:rPr>
        <w:sym w:font="Symbol" w:char="F0A2"/>
      </w:r>
      <w:r w:rsidRPr="00261210">
        <w:t xml:space="preserve"> = С</w:t>
      </w:r>
      <w:r w:rsidRPr="00261210">
        <w:rPr>
          <w:vertAlign w:val="subscript"/>
        </w:rPr>
        <w:t>1</w:t>
      </w: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rPr>
          <w:lang w:val="ru-RU"/>
        </w:rPr>
        <w:t xml:space="preserve"> + </w:t>
      </w:r>
      <w:r w:rsidRPr="00261210">
        <w:rPr>
          <w:szCs w:val="28"/>
          <w:lang w:val="en-US"/>
        </w:rPr>
        <w:sym w:font="Symbol" w:char="F044"/>
      </w:r>
      <w:r w:rsidRPr="00261210">
        <w:rPr>
          <w:lang w:val="en-US"/>
        </w:rPr>
        <w:t>Q</w:t>
      </w:r>
      <w:r w:rsidRPr="00261210">
        <w:rPr>
          <w:vertAlign w:val="subscript"/>
          <w:lang w:val="en-US"/>
        </w:rPr>
        <w:t>P</w:t>
      </w:r>
      <w:r w:rsidRPr="00261210">
        <w:rPr>
          <w:lang w:val="ru-RU"/>
        </w:rPr>
        <w:t xml:space="preserve"> – </w:t>
      </w:r>
      <w:r w:rsidRPr="00261210">
        <w:rPr>
          <w:lang w:val="en-US"/>
        </w:rPr>
        <w:t>C</w:t>
      </w:r>
      <w:r w:rsidRPr="00261210">
        <w:rPr>
          <w:vertAlign w:val="subscript"/>
          <w:lang w:val="ru-RU"/>
        </w:rPr>
        <w:t>2</w:t>
      </w:r>
      <w:r w:rsidRPr="00261210">
        <w:rPr>
          <w:lang w:val="ru-RU"/>
        </w:rPr>
        <w:t xml:space="preserve"> </w:t>
      </w:r>
      <w:r w:rsidRPr="00261210">
        <w:rPr>
          <w:lang w:val="en-US"/>
        </w:rPr>
        <w:t>q</w:t>
      </w:r>
      <w:r w:rsidRPr="00261210">
        <w:rPr>
          <w:vertAlign w:val="subscript"/>
        </w:rPr>
        <w:t>ПОВТ</w:t>
      </w:r>
      <w:r w:rsidRPr="00261210">
        <w:t>,</w:t>
      </w:r>
      <w:r w:rsidR="00261210" w:rsidRPr="00261210">
        <w:t xml:space="preserve"> </w:t>
      </w:r>
      <w:r w:rsidRPr="00261210">
        <w:t>Т</w:t>
      </w:r>
      <w:r w:rsidRPr="00261210">
        <w:rPr>
          <w:szCs w:val="28"/>
        </w:rPr>
        <w:sym w:font="Symbol" w:char="F0A2"/>
      </w:r>
      <w:r w:rsidRPr="00261210">
        <w:t xml:space="preserve"> = С</w:t>
      </w:r>
      <w:r w:rsidRPr="00261210">
        <w:rPr>
          <w:vertAlign w:val="subscript"/>
        </w:rPr>
        <w:t>3</w:t>
      </w:r>
      <w:r w:rsidRPr="00261210">
        <w:t>Т,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де С</w:t>
      </w:r>
      <w:r w:rsidRPr="00261210">
        <w:rPr>
          <w:vertAlign w:val="subscript"/>
        </w:rPr>
        <w:t>1</w:t>
      </w:r>
      <w:r w:rsidRPr="00261210">
        <w:t>, С</w:t>
      </w:r>
      <w:r w:rsidRPr="00261210">
        <w:rPr>
          <w:vertAlign w:val="subscript"/>
        </w:rPr>
        <w:t>2</w:t>
      </w:r>
      <w:r w:rsidRPr="00261210">
        <w:t>, С</w:t>
      </w:r>
      <w:r w:rsidRPr="00261210">
        <w:rPr>
          <w:vertAlign w:val="subscript"/>
        </w:rPr>
        <w:t>3</w:t>
      </w:r>
      <w:r w:rsidRPr="00261210">
        <w:t xml:space="preserve"> – коефіцієнти пониження споживання води (0,8...1,0).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рік 95 %-ї забезпеченості стоком повинні повністю задовольнятись потреби господарсько-питного водопостачання населення і зберігатись мінімальні санітарні витрати вздовж водотоків. Обмеження споживання води можна вводити для зрошення, річкового транспорту, гідроенергетики, рибного господарства.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складанні ВГБ використовують результати тривалих натурних спостережень за їх складовими: атмосферними опадами, річковим і підземним стоками, випаровуванням і транспірацією.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numPr>
          <w:ilvl w:val="0"/>
          <w:numId w:val="1"/>
        </w:numPr>
        <w:tabs>
          <w:tab w:val="left" w:pos="426"/>
        </w:tabs>
        <w:ind w:left="0" w:firstLine="709"/>
      </w:pPr>
      <w:r w:rsidRPr="00261210">
        <w:t>ПІДСУ</w:t>
      </w:r>
      <w:r w:rsidR="00443512">
        <w:t>МКОВИЙ ВОДОГОСПОДАРСЬКИЙ БАЛАНС</w:t>
      </w:r>
    </w:p>
    <w:p w:rsidR="009B00BF" w:rsidRPr="00261210" w:rsidRDefault="009B00BF" w:rsidP="00261210">
      <w:pPr>
        <w:pStyle w:val="21"/>
        <w:tabs>
          <w:tab w:val="left" w:pos="426"/>
        </w:tabs>
      </w:pP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Розробка і складання ВГБ може виконуватись в двох аспектах. В першому з них розглядаються досить складні економічні райони і річкові басейни на 10...15 річну перспективу їх розвитку. При цьому оцінка водних ресурсів і визначення вимог різноманітних водокористувачів можуть виконуватись з достатньою точністю.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Більш складне складання ВГБ в другому аспекті, тобто за багаторічний період, що включає велике число років, які характеризуються різними об’ємами стоку. Кінцевим етапом при цьому є підсумкові водогосподарські баланси, які відображають найбільш неблагополучні умови водозабезпечення протягом 20...30 і більше років.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Як правило, підсумкові ВГБ складають для маловодного і середньо-маловодного років з відповідними розрахунковими забезпеченостями 95...97 і</w:t>
      </w:r>
      <w:r w:rsidR="00261210" w:rsidRPr="00261210">
        <w:t xml:space="preserve"> </w:t>
      </w:r>
      <w:r w:rsidRPr="00261210">
        <w:t>75 %. Для можливості більш детальної оцінки режиму маловодного року аналізується його стік по місяцям, а іноді, і по декадам.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водогосподарському плануванні досить часто розглядаються крупні річкові системи, в межах яких відбуваються досить складні зміни стоку. Одночасно з цим, необхідно зазначити багатогранні форми гідрологічної взаємодії між різними частинами кожного річкового басейну, а також між окремими річковими системами. Із-за цього доцільно за розрахунковий маловодний рік приймати той, який був зафіксований протягом багаторічного циклу гідрологічних спостережень.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Вибрані в якості основних розрахункових, маловодні роки характеризуються самими важкими умовами задоволення споживачів водою. При цьому рахується, що маловодний рік відповідає забезпеченню мінімальних запитів водокористувачів, а в середньо-маловодний рік забезпечується повне задоволення всіх потреб у воді.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Бажано, щоб у підсумковому ВГБ не було дефіциту води, оскільки баланс характеризує нормальні умови водозабезпечення, які не повинні бути нижче межі відповідного сталого режиму.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При багаторічному регулюванні каскадом водосховищ, розташованих на одній річці, всі водогосподарські розрахунки, як правило, проводяться в розрахункових створах від верхів’я басейну до його низу. В зв’язку з цим, в особливо маловодні періоди, запити водокористувачів, які знаходяться в нижній частині басейну, можуть не задовольнятись. Для уникнення цього необхідно обмежувати розміри водоспоживання на вище розташованих ділянках річки і передбачати задоволення потреби у воді в межах всього басейну за заниженими нормами. Необхідність цього диктується тим, що всі водогосподарські системи повинні взаємо</w:t>
      </w:r>
      <w:r w:rsidR="00443512">
        <w:t>з</w:t>
      </w:r>
      <w:r w:rsidRPr="00261210">
        <w:t>в’язуватись і забезпечуватись централізованим управлінням.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Специфічні вимоги деяких водокористувачів (гідроенергетики, водного транспорту, лісосплаву) доцільно розглядати окремо від ВГБ для даного економічного району чи річкового басейну. Це пов’язане з тим, що задоволення потреби водокористувачів не вилучає воду з того чи іншого водотоку. При дефіциті водних ресурсів деякі із перерахованих водокористувачів можуть замінятись приблизно рівноцінними, з економічної точки зору, варіантами.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Необхідно мати на увазі, що до категорії безповоротних втрат відноситься не тільки вода, яка втрачається на випаровування і входить до складу сільськогосподарської і промислової продукції, але й та, що транспортується за межі даного річкового басейну. Ця категорія включає в себе також каналізаційні і зворотні води, місця виходу яких розташовані в нижній частині території, в межах якої складається водогосподарський баланс.</w:t>
      </w:r>
    </w:p>
    <w:p w:rsidR="009B00BF" w:rsidRPr="00261210" w:rsidRDefault="009B00BF" w:rsidP="00261210">
      <w:pPr>
        <w:pStyle w:val="21"/>
        <w:tabs>
          <w:tab w:val="left" w:pos="426"/>
        </w:tabs>
      </w:pPr>
      <w:r w:rsidRPr="00261210">
        <w:t>В випадках, коли водні ресурси в достатній мірі значні, порівняно з пропонованою витратою води на перспективу, розробка ВГБ проводиться в скороченому і дещо наближеному вигляді. При цьому, в якості вихідних гідрологічних даних, приймають дані, які відносяться до розрахункового маловодного року з забезпеченістю 95...97 %.</w:t>
      </w:r>
    </w:p>
    <w:p w:rsidR="009B00BF" w:rsidRDefault="009B00BF" w:rsidP="00261210">
      <w:pPr>
        <w:spacing w:line="360" w:lineRule="auto"/>
        <w:ind w:firstLine="709"/>
        <w:jc w:val="both"/>
        <w:rPr>
          <w:sz w:val="28"/>
        </w:rPr>
      </w:pPr>
      <w:r w:rsidRPr="00261210">
        <w:rPr>
          <w:sz w:val="28"/>
        </w:rPr>
        <w:br w:type="page"/>
        <w:t>ЛІТЕРАТУРА</w:t>
      </w:r>
    </w:p>
    <w:p w:rsidR="00443512" w:rsidRPr="00443512" w:rsidRDefault="00443512" w:rsidP="00443512">
      <w:pPr>
        <w:spacing w:line="360" w:lineRule="auto"/>
        <w:jc w:val="both"/>
        <w:rPr>
          <w:sz w:val="28"/>
          <w:szCs w:val="28"/>
        </w:rPr>
      </w:pPr>
    </w:p>
    <w:p w:rsidR="009B00BF" w:rsidRPr="00443512" w:rsidRDefault="009B00BF" w:rsidP="00443512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443512">
        <w:rPr>
          <w:sz w:val="28"/>
          <w:szCs w:val="28"/>
        </w:rPr>
        <w:t>1. Комплексное использовани</w:t>
      </w:r>
      <w:r w:rsidRPr="00443512">
        <w:rPr>
          <w:sz w:val="28"/>
          <w:szCs w:val="28"/>
          <w:lang w:val="ru-RU"/>
        </w:rPr>
        <w:t>е и охрана водных ресурсов / Под.ред.</w:t>
      </w:r>
      <w:r w:rsidRPr="00443512">
        <w:rPr>
          <w:sz w:val="28"/>
          <w:szCs w:val="28"/>
        </w:rPr>
        <w:t xml:space="preserve"> О.Л.</w:t>
      </w:r>
      <w:r w:rsidR="00443512">
        <w:rPr>
          <w:sz w:val="28"/>
          <w:szCs w:val="28"/>
        </w:rPr>
        <w:t xml:space="preserve"> </w:t>
      </w:r>
      <w:r w:rsidRPr="00443512">
        <w:rPr>
          <w:sz w:val="28"/>
          <w:szCs w:val="28"/>
        </w:rPr>
        <w:t>Юшманова/ -М.: Агропромиздат, 1985.</w:t>
      </w:r>
    </w:p>
    <w:p w:rsidR="009B00BF" w:rsidRPr="00443512" w:rsidRDefault="009B00BF" w:rsidP="00443512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443512">
        <w:rPr>
          <w:sz w:val="28"/>
          <w:szCs w:val="28"/>
        </w:rPr>
        <w:t>2.</w:t>
      </w:r>
      <w:r w:rsidR="00443512" w:rsidRPr="00443512">
        <w:rPr>
          <w:sz w:val="28"/>
          <w:szCs w:val="28"/>
        </w:rPr>
        <w:t xml:space="preserve"> </w:t>
      </w:r>
      <w:r w:rsidRPr="00443512">
        <w:rPr>
          <w:sz w:val="28"/>
          <w:szCs w:val="28"/>
        </w:rPr>
        <w:t>Заруба</w:t>
      </w:r>
      <w:r w:rsidRPr="00443512">
        <w:rPr>
          <w:sz w:val="28"/>
          <w:szCs w:val="28"/>
          <w:lang w:val="ru-RU"/>
        </w:rPr>
        <w:t>е</w:t>
      </w:r>
      <w:r w:rsidRPr="00443512">
        <w:rPr>
          <w:sz w:val="28"/>
          <w:szCs w:val="28"/>
        </w:rPr>
        <w:t>в Н.В. Комплексное использование водн</w:t>
      </w:r>
      <w:r w:rsidRPr="00443512">
        <w:rPr>
          <w:sz w:val="28"/>
          <w:szCs w:val="28"/>
          <w:lang w:val="ru-RU"/>
        </w:rPr>
        <w:t>ы</w:t>
      </w:r>
      <w:r w:rsidRPr="00443512">
        <w:rPr>
          <w:sz w:val="28"/>
          <w:szCs w:val="28"/>
        </w:rPr>
        <w:t>х ресурсов. – Л.</w:t>
      </w:r>
      <w:r w:rsidR="00443512" w:rsidRPr="00443512">
        <w:rPr>
          <w:sz w:val="28"/>
          <w:szCs w:val="28"/>
        </w:rPr>
        <w:t xml:space="preserve"> </w:t>
      </w:r>
      <w:r w:rsidRPr="00443512">
        <w:rPr>
          <w:sz w:val="28"/>
          <w:szCs w:val="28"/>
        </w:rPr>
        <w:t>Стройиздат, 1976.</w:t>
      </w:r>
    </w:p>
    <w:p w:rsidR="009B00BF" w:rsidRPr="00443512" w:rsidRDefault="009B00BF" w:rsidP="00443512">
      <w:pPr>
        <w:tabs>
          <w:tab w:val="left" w:pos="3420"/>
        </w:tabs>
        <w:spacing w:line="360" w:lineRule="auto"/>
        <w:jc w:val="both"/>
        <w:rPr>
          <w:sz w:val="28"/>
          <w:szCs w:val="28"/>
        </w:rPr>
      </w:pPr>
      <w:r w:rsidRPr="00443512">
        <w:rPr>
          <w:sz w:val="28"/>
          <w:szCs w:val="28"/>
        </w:rPr>
        <w:t>3.</w:t>
      </w:r>
      <w:r w:rsidR="00443512" w:rsidRPr="00443512">
        <w:rPr>
          <w:sz w:val="28"/>
          <w:szCs w:val="28"/>
        </w:rPr>
        <w:t xml:space="preserve"> </w:t>
      </w:r>
      <w:r w:rsidRPr="00443512">
        <w:rPr>
          <w:sz w:val="28"/>
          <w:szCs w:val="28"/>
        </w:rPr>
        <w:t>Грищенко Ю.М. Комплексне використання та охорона водних ресурсів. Рівне, 1997.</w:t>
      </w:r>
    </w:p>
    <w:p w:rsidR="009B00BF" w:rsidRPr="00443512" w:rsidRDefault="009B00BF" w:rsidP="00443512">
      <w:pPr>
        <w:tabs>
          <w:tab w:val="left" w:pos="3420"/>
        </w:tabs>
        <w:spacing w:line="360" w:lineRule="auto"/>
        <w:jc w:val="both"/>
        <w:rPr>
          <w:sz w:val="28"/>
          <w:szCs w:val="28"/>
          <w:lang w:val="ru-RU"/>
        </w:rPr>
      </w:pPr>
      <w:r w:rsidRPr="00443512">
        <w:rPr>
          <w:sz w:val="28"/>
          <w:szCs w:val="28"/>
        </w:rPr>
        <w:t>4.</w:t>
      </w:r>
      <w:r w:rsidR="00443512" w:rsidRPr="00443512">
        <w:rPr>
          <w:sz w:val="28"/>
          <w:szCs w:val="28"/>
        </w:rPr>
        <w:t xml:space="preserve"> </w:t>
      </w:r>
      <w:r w:rsidRPr="00443512">
        <w:rPr>
          <w:sz w:val="28"/>
          <w:szCs w:val="28"/>
          <w:lang w:val="ru-RU"/>
        </w:rPr>
        <w:t>Гидроэнергетика и комплексное использование водных ресурсов/ Под. ред. Непорожнего П.С./ -М.: Энергоиздат, 1982.</w:t>
      </w:r>
      <w:bookmarkStart w:id="0" w:name="_GoBack"/>
      <w:bookmarkEnd w:id="0"/>
    </w:p>
    <w:sectPr w:rsidR="009B00BF" w:rsidRPr="00443512" w:rsidSect="000A535A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A5812"/>
    <w:multiLevelType w:val="hybridMultilevel"/>
    <w:tmpl w:val="99CCA5AC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EFD0268"/>
    <w:multiLevelType w:val="hybridMultilevel"/>
    <w:tmpl w:val="BE486CB2"/>
    <w:lvl w:ilvl="0" w:tplc="6CD6C3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0BF"/>
    <w:rsid w:val="00002C74"/>
    <w:rsid w:val="0000665A"/>
    <w:rsid w:val="0001436F"/>
    <w:rsid w:val="000146A4"/>
    <w:rsid w:val="00025E05"/>
    <w:rsid w:val="000329B9"/>
    <w:rsid w:val="00045DE1"/>
    <w:rsid w:val="0004676F"/>
    <w:rsid w:val="000544C1"/>
    <w:rsid w:val="00087FAB"/>
    <w:rsid w:val="0009397B"/>
    <w:rsid w:val="000A535A"/>
    <w:rsid w:val="000A719E"/>
    <w:rsid w:val="000B1851"/>
    <w:rsid w:val="000B3AFD"/>
    <w:rsid w:val="000B4C38"/>
    <w:rsid w:val="000C24DB"/>
    <w:rsid w:val="000C315B"/>
    <w:rsid w:val="000C5686"/>
    <w:rsid w:val="000D4D7F"/>
    <w:rsid w:val="000E6BCC"/>
    <w:rsid w:val="000F4BCB"/>
    <w:rsid w:val="000F505A"/>
    <w:rsid w:val="001043B1"/>
    <w:rsid w:val="0011184D"/>
    <w:rsid w:val="00124D59"/>
    <w:rsid w:val="00127F03"/>
    <w:rsid w:val="00150F20"/>
    <w:rsid w:val="00162A95"/>
    <w:rsid w:val="00173731"/>
    <w:rsid w:val="0017480D"/>
    <w:rsid w:val="001773D5"/>
    <w:rsid w:val="00181AC1"/>
    <w:rsid w:val="00185CDD"/>
    <w:rsid w:val="0019119D"/>
    <w:rsid w:val="00192536"/>
    <w:rsid w:val="001D6E43"/>
    <w:rsid w:val="001E7AD8"/>
    <w:rsid w:val="002032DC"/>
    <w:rsid w:val="002114F5"/>
    <w:rsid w:val="002126C5"/>
    <w:rsid w:val="002153D0"/>
    <w:rsid w:val="0024791E"/>
    <w:rsid w:val="002513DD"/>
    <w:rsid w:val="00252F53"/>
    <w:rsid w:val="00261210"/>
    <w:rsid w:val="00265082"/>
    <w:rsid w:val="00265CC3"/>
    <w:rsid w:val="00273152"/>
    <w:rsid w:val="00274D52"/>
    <w:rsid w:val="00275CFF"/>
    <w:rsid w:val="002857D6"/>
    <w:rsid w:val="002A4B7A"/>
    <w:rsid w:val="002C0D8B"/>
    <w:rsid w:val="002E618A"/>
    <w:rsid w:val="002F704B"/>
    <w:rsid w:val="00311430"/>
    <w:rsid w:val="00340F2F"/>
    <w:rsid w:val="00365D7C"/>
    <w:rsid w:val="00385B09"/>
    <w:rsid w:val="003B4E15"/>
    <w:rsid w:val="003C0366"/>
    <w:rsid w:val="003C7428"/>
    <w:rsid w:val="003D5E56"/>
    <w:rsid w:val="003E3A9E"/>
    <w:rsid w:val="004214F0"/>
    <w:rsid w:val="004241C9"/>
    <w:rsid w:val="00432855"/>
    <w:rsid w:val="00443512"/>
    <w:rsid w:val="00473FC3"/>
    <w:rsid w:val="0047421A"/>
    <w:rsid w:val="004745CB"/>
    <w:rsid w:val="0048580A"/>
    <w:rsid w:val="00495F94"/>
    <w:rsid w:val="004B10D1"/>
    <w:rsid w:val="004B5AF5"/>
    <w:rsid w:val="004D0542"/>
    <w:rsid w:val="004E3A25"/>
    <w:rsid w:val="004E76DF"/>
    <w:rsid w:val="0051001F"/>
    <w:rsid w:val="005222FD"/>
    <w:rsid w:val="00522E59"/>
    <w:rsid w:val="0053797F"/>
    <w:rsid w:val="00540BB0"/>
    <w:rsid w:val="0054557B"/>
    <w:rsid w:val="005548A8"/>
    <w:rsid w:val="005821BC"/>
    <w:rsid w:val="005A2632"/>
    <w:rsid w:val="005A280C"/>
    <w:rsid w:val="005A4B67"/>
    <w:rsid w:val="005B0447"/>
    <w:rsid w:val="005B1854"/>
    <w:rsid w:val="005E59F7"/>
    <w:rsid w:val="006152ED"/>
    <w:rsid w:val="00641F58"/>
    <w:rsid w:val="00645AFE"/>
    <w:rsid w:val="00654C68"/>
    <w:rsid w:val="00662831"/>
    <w:rsid w:val="00663830"/>
    <w:rsid w:val="006674C1"/>
    <w:rsid w:val="006769EF"/>
    <w:rsid w:val="0068290E"/>
    <w:rsid w:val="00687C09"/>
    <w:rsid w:val="006A6263"/>
    <w:rsid w:val="006A74CA"/>
    <w:rsid w:val="006B210D"/>
    <w:rsid w:val="006B2F4C"/>
    <w:rsid w:val="006B4C1A"/>
    <w:rsid w:val="006C7112"/>
    <w:rsid w:val="006C7AFD"/>
    <w:rsid w:val="006D6F94"/>
    <w:rsid w:val="006E0C5D"/>
    <w:rsid w:val="006E4608"/>
    <w:rsid w:val="00710CA4"/>
    <w:rsid w:val="00710FF8"/>
    <w:rsid w:val="00736B6E"/>
    <w:rsid w:val="00760734"/>
    <w:rsid w:val="007640A7"/>
    <w:rsid w:val="00767D68"/>
    <w:rsid w:val="00774F27"/>
    <w:rsid w:val="00782E4F"/>
    <w:rsid w:val="00791BCB"/>
    <w:rsid w:val="007A26C0"/>
    <w:rsid w:val="007A513E"/>
    <w:rsid w:val="007A5A3C"/>
    <w:rsid w:val="007C7280"/>
    <w:rsid w:val="007D73BA"/>
    <w:rsid w:val="007E51DF"/>
    <w:rsid w:val="00800DA4"/>
    <w:rsid w:val="0080251A"/>
    <w:rsid w:val="0080411A"/>
    <w:rsid w:val="00804D4A"/>
    <w:rsid w:val="008103B8"/>
    <w:rsid w:val="00814849"/>
    <w:rsid w:val="008151C4"/>
    <w:rsid w:val="0082520E"/>
    <w:rsid w:val="00836B58"/>
    <w:rsid w:val="008435CF"/>
    <w:rsid w:val="0084677B"/>
    <w:rsid w:val="00852228"/>
    <w:rsid w:val="00860EE4"/>
    <w:rsid w:val="00873C51"/>
    <w:rsid w:val="00874CF0"/>
    <w:rsid w:val="008A1F1E"/>
    <w:rsid w:val="008B1E72"/>
    <w:rsid w:val="008C2CC9"/>
    <w:rsid w:val="008D463A"/>
    <w:rsid w:val="008E2746"/>
    <w:rsid w:val="00900237"/>
    <w:rsid w:val="00924EC4"/>
    <w:rsid w:val="00940302"/>
    <w:rsid w:val="00940A1C"/>
    <w:rsid w:val="00966846"/>
    <w:rsid w:val="00967287"/>
    <w:rsid w:val="009815F1"/>
    <w:rsid w:val="0098448C"/>
    <w:rsid w:val="009845FE"/>
    <w:rsid w:val="009A224C"/>
    <w:rsid w:val="009A2E31"/>
    <w:rsid w:val="009B00BF"/>
    <w:rsid w:val="009D5C77"/>
    <w:rsid w:val="009E1640"/>
    <w:rsid w:val="009F1377"/>
    <w:rsid w:val="009F22C8"/>
    <w:rsid w:val="009F3079"/>
    <w:rsid w:val="00A00E28"/>
    <w:rsid w:val="00A04BD2"/>
    <w:rsid w:val="00A1739F"/>
    <w:rsid w:val="00A32572"/>
    <w:rsid w:val="00A32AD7"/>
    <w:rsid w:val="00A430AC"/>
    <w:rsid w:val="00A53309"/>
    <w:rsid w:val="00A93F37"/>
    <w:rsid w:val="00A96C3B"/>
    <w:rsid w:val="00AA65F4"/>
    <w:rsid w:val="00AB2995"/>
    <w:rsid w:val="00AB7B24"/>
    <w:rsid w:val="00AE7DAF"/>
    <w:rsid w:val="00B04DF7"/>
    <w:rsid w:val="00B144DA"/>
    <w:rsid w:val="00B216CD"/>
    <w:rsid w:val="00B2734B"/>
    <w:rsid w:val="00B301D4"/>
    <w:rsid w:val="00B3373C"/>
    <w:rsid w:val="00B43ABE"/>
    <w:rsid w:val="00B57CE5"/>
    <w:rsid w:val="00B60822"/>
    <w:rsid w:val="00B654EE"/>
    <w:rsid w:val="00B715CD"/>
    <w:rsid w:val="00B768DC"/>
    <w:rsid w:val="00B849AA"/>
    <w:rsid w:val="00B948A8"/>
    <w:rsid w:val="00B94DAC"/>
    <w:rsid w:val="00B961DC"/>
    <w:rsid w:val="00BA23E1"/>
    <w:rsid w:val="00BB06A6"/>
    <w:rsid w:val="00BD4406"/>
    <w:rsid w:val="00BD624A"/>
    <w:rsid w:val="00BD75CB"/>
    <w:rsid w:val="00BF1B92"/>
    <w:rsid w:val="00BF26DC"/>
    <w:rsid w:val="00BF3686"/>
    <w:rsid w:val="00C15033"/>
    <w:rsid w:val="00C239B3"/>
    <w:rsid w:val="00C309B7"/>
    <w:rsid w:val="00C4133E"/>
    <w:rsid w:val="00C55122"/>
    <w:rsid w:val="00C8036D"/>
    <w:rsid w:val="00C90DB1"/>
    <w:rsid w:val="00CD2E2C"/>
    <w:rsid w:val="00CD62AA"/>
    <w:rsid w:val="00CD7878"/>
    <w:rsid w:val="00CF5A73"/>
    <w:rsid w:val="00D05525"/>
    <w:rsid w:val="00D14F7B"/>
    <w:rsid w:val="00D229AC"/>
    <w:rsid w:val="00D22BFB"/>
    <w:rsid w:val="00D46E94"/>
    <w:rsid w:val="00D70B18"/>
    <w:rsid w:val="00D7664C"/>
    <w:rsid w:val="00D8085B"/>
    <w:rsid w:val="00D93435"/>
    <w:rsid w:val="00DA1A4A"/>
    <w:rsid w:val="00DB797F"/>
    <w:rsid w:val="00DE046F"/>
    <w:rsid w:val="00E14B96"/>
    <w:rsid w:val="00E2045A"/>
    <w:rsid w:val="00E242DA"/>
    <w:rsid w:val="00E248E5"/>
    <w:rsid w:val="00E60719"/>
    <w:rsid w:val="00E60A50"/>
    <w:rsid w:val="00E65710"/>
    <w:rsid w:val="00E71AE3"/>
    <w:rsid w:val="00E77CB1"/>
    <w:rsid w:val="00E82B31"/>
    <w:rsid w:val="00E8317C"/>
    <w:rsid w:val="00E91B71"/>
    <w:rsid w:val="00E92312"/>
    <w:rsid w:val="00E93714"/>
    <w:rsid w:val="00E937F3"/>
    <w:rsid w:val="00EA5226"/>
    <w:rsid w:val="00EA65D8"/>
    <w:rsid w:val="00EB4D2C"/>
    <w:rsid w:val="00ED2BD5"/>
    <w:rsid w:val="00EE4537"/>
    <w:rsid w:val="00EE569E"/>
    <w:rsid w:val="00EF13E5"/>
    <w:rsid w:val="00EF7A04"/>
    <w:rsid w:val="00F010E6"/>
    <w:rsid w:val="00F0151C"/>
    <w:rsid w:val="00F30A7A"/>
    <w:rsid w:val="00F33E1B"/>
    <w:rsid w:val="00F348F8"/>
    <w:rsid w:val="00F86FEE"/>
    <w:rsid w:val="00F92F5E"/>
    <w:rsid w:val="00FA2CC1"/>
    <w:rsid w:val="00FB68C3"/>
    <w:rsid w:val="00FC34B3"/>
    <w:rsid w:val="00FC7F40"/>
    <w:rsid w:val="00FD3522"/>
    <w:rsid w:val="00FD4242"/>
    <w:rsid w:val="00FE0940"/>
    <w:rsid w:val="00FE1E14"/>
    <w:rsid w:val="00FE65B9"/>
    <w:rsid w:val="00F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561213-7882-42FF-8630-9AEE9807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BF"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96C3B"/>
    <w:pPr>
      <w:keepNext/>
      <w:spacing w:before="100" w:beforeAutospacing="1" w:after="100" w:afterAutospacing="1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6C3B"/>
    <w:pPr>
      <w:keepNext/>
      <w:spacing w:before="240" w:after="60"/>
      <w:ind w:firstLine="567"/>
      <w:jc w:val="both"/>
      <w:outlineLvl w:val="1"/>
    </w:pPr>
    <w:rPr>
      <w:rFonts w:cs="Arial"/>
      <w:b/>
      <w:bCs/>
      <w:iCs/>
      <w:szCs w:val="28"/>
    </w:rPr>
  </w:style>
  <w:style w:type="paragraph" w:styleId="9">
    <w:name w:val="heading 9"/>
    <w:basedOn w:val="a"/>
    <w:next w:val="a"/>
    <w:link w:val="90"/>
    <w:uiPriority w:val="99"/>
    <w:qFormat/>
    <w:rsid w:val="009B00BF"/>
    <w:pPr>
      <w:keepNext/>
      <w:ind w:firstLine="709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uk-UA" w:eastAsia="x-none"/>
    </w:rPr>
  </w:style>
  <w:style w:type="paragraph" w:styleId="21">
    <w:name w:val="Body Text Indent 2"/>
    <w:basedOn w:val="a"/>
    <w:link w:val="22"/>
    <w:uiPriority w:val="99"/>
    <w:rsid w:val="009B00B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3">
    <w:name w:val="Body Text Indent"/>
    <w:basedOn w:val="a"/>
    <w:link w:val="a4"/>
    <w:uiPriority w:val="99"/>
    <w:rsid w:val="009B00B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2014-03-15T15:27:00Z</dcterms:created>
  <dcterms:modified xsi:type="dcterms:W3CDTF">2014-03-15T15:27:00Z</dcterms:modified>
</cp:coreProperties>
</file>