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Министерство общего и профессионального образования</w:t>
      </w: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Нижегородский государственный лингвистический университет им. Н. А. Добролюбова</w:t>
      </w: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Baltica" w:hAnsi="Baltica"/>
          <w:sz w:val="36"/>
        </w:rPr>
      </w:pPr>
      <w:r>
        <w:rPr>
          <w:rFonts w:ascii="Baltica" w:hAnsi="Baltica"/>
          <w:sz w:val="36"/>
        </w:rPr>
        <w:t>Переводческий факультет</w:t>
      </w: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Baltica" w:hAnsi="Baltica"/>
          <w:sz w:val="36"/>
        </w:rPr>
      </w:pPr>
      <w:r>
        <w:rPr>
          <w:rFonts w:ascii="Baltica" w:hAnsi="Baltica"/>
          <w:sz w:val="36"/>
        </w:rPr>
        <w:t>Кафедра военной подготовки</w:t>
      </w: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РЕФЕРАТ</w:t>
      </w: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Antiqua Ho" w:hAnsi="Antiqua Ho"/>
          <w:sz w:val="44"/>
        </w:rPr>
      </w:pPr>
      <w:r>
        <w:rPr>
          <w:rFonts w:ascii="Antiqua Ho" w:hAnsi="Antiqua Ho"/>
          <w:sz w:val="44"/>
        </w:rPr>
        <w:t>Военные реформы 1905-12 годов</w:t>
      </w: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sz w:val="32"/>
        </w:rPr>
      </w:pPr>
      <w:r>
        <w:rPr>
          <w:sz w:val="32"/>
        </w:rPr>
        <w:t>Исполнитель:</w:t>
      </w: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28"/>
        </w:rPr>
        <w:t>Ф. И. О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32"/>
          <w:u w:val="single"/>
        </w:rPr>
        <w:t xml:space="preserve"> ______________________</w:t>
      </w: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Подпись</w:t>
      </w:r>
      <w:r>
        <w:rPr>
          <w:rFonts w:ascii="Times New Roman" w:hAnsi="Times New Roman"/>
          <w:sz w:val="32"/>
        </w:rPr>
        <w:t xml:space="preserve"> ________________</w:t>
      </w: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Дата сдачи работы</w:t>
      </w:r>
      <w:r>
        <w:rPr>
          <w:rFonts w:ascii="Times New Roman" w:hAnsi="Times New Roman"/>
          <w:sz w:val="32"/>
        </w:rPr>
        <w:t xml:space="preserve"> ________________</w:t>
      </w: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28"/>
        </w:rPr>
      </w:pP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28"/>
        </w:rPr>
      </w:pPr>
      <w:r>
        <w:rPr>
          <w:sz w:val="32"/>
        </w:rPr>
        <w:t>Руководитель</w:t>
      </w: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28"/>
        </w:rPr>
        <w:t xml:space="preserve">Ф. И. О. </w:t>
      </w:r>
      <w:r>
        <w:rPr>
          <w:rFonts w:ascii="Times New Roman" w:hAnsi="Times New Roman"/>
          <w:sz w:val="28"/>
          <w:u w:val="single"/>
        </w:rPr>
        <w:t>_________________________</w:t>
      </w: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right"/>
        <w:rPr>
          <w:rFonts w:ascii="Times New Roman" w:hAnsi="Times New Roman"/>
          <w:sz w:val="32"/>
          <w:u w:val="single"/>
        </w:rPr>
      </w:pP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Подпись</w:t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  <w:t xml:space="preserve"> </w:t>
      </w:r>
      <w:r>
        <w:rPr>
          <w:rFonts w:ascii="Times New Roman" w:hAnsi="Times New Roman"/>
          <w:sz w:val="32"/>
        </w:rPr>
        <w:softHyphen/>
      </w:r>
      <w:r>
        <w:rPr>
          <w:rFonts w:ascii="Times New Roman" w:hAnsi="Times New Roman"/>
          <w:sz w:val="32"/>
        </w:rPr>
        <w:softHyphen/>
        <w:t>_________________</w:t>
      </w: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Дата проверки</w:t>
      </w:r>
      <w:r>
        <w:rPr>
          <w:rFonts w:ascii="Times New Roman" w:hAnsi="Times New Roman"/>
          <w:sz w:val="32"/>
        </w:rPr>
        <w:t xml:space="preserve"> _________________</w:t>
      </w: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Times New Roman" w:hAnsi="Times New Roman"/>
          <w:sz w:val="32"/>
        </w:rPr>
      </w:pP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Izhitsa" w:hAnsi="Izhitsa"/>
          <w:sz w:val="36"/>
        </w:rPr>
      </w:pPr>
      <w:r>
        <w:rPr>
          <w:rFonts w:ascii="Izhitsa" w:hAnsi="Izhitsa"/>
          <w:sz w:val="36"/>
        </w:rPr>
        <w:t>Нижний Новгород</w:t>
      </w:r>
    </w:p>
    <w:p w:rsidR="005471D2" w:rsidRDefault="00384EC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Izhitsa" w:hAnsi="Izhitsa"/>
          <w:sz w:val="36"/>
        </w:rPr>
      </w:pPr>
      <w:r>
        <w:rPr>
          <w:rFonts w:ascii="Izhitsa" w:hAnsi="Izhitsa"/>
          <w:sz w:val="36"/>
        </w:rPr>
        <w:t>1997</w:t>
      </w:r>
    </w:p>
    <w:p w:rsidR="005471D2" w:rsidRDefault="005471D2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663"/>
        </w:tabs>
        <w:ind w:right="1"/>
        <w:jc w:val="center"/>
        <w:rPr>
          <w:rFonts w:ascii="Izhitsa" w:hAnsi="Izhitsa"/>
          <w:sz w:val="36"/>
        </w:rPr>
      </w:pPr>
    </w:p>
    <w:p w:rsidR="005471D2" w:rsidRDefault="005471D2">
      <w:pPr>
        <w:jc w:val="center"/>
        <w:rPr>
          <w:b/>
        </w:rPr>
      </w:pPr>
    </w:p>
    <w:p w:rsidR="005471D2" w:rsidRDefault="00384EC1">
      <w:pPr>
        <w:jc w:val="center"/>
        <w:rPr>
          <w:b/>
        </w:rPr>
      </w:pPr>
      <w:r>
        <w:rPr>
          <w:b/>
        </w:rPr>
        <w:t>План</w:t>
      </w:r>
    </w:p>
    <w:p w:rsidR="005471D2" w:rsidRDefault="00384EC1">
      <w:pPr>
        <w:pStyle w:val="2"/>
      </w:pPr>
      <w:r>
        <w:fldChar w:fldCharType="begin"/>
      </w:r>
      <w:r>
        <w:instrText xml:space="preserve"> TOC \t "Заголовок 2;1" </w:instrText>
      </w:r>
      <w:r>
        <w:fldChar w:fldCharType="separate"/>
      </w:r>
      <w:r>
        <w:t>Предпосылки проведения реформы</w:t>
      </w:r>
      <w:r>
        <w:tab/>
      </w:r>
      <w:r>
        <w:fldChar w:fldCharType="begin"/>
      </w:r>
      <w:r>
        <w:instrText xml:space="preserve"> GOTOBUTTON _Toc389809672  </w:instrText>
      </w:r>
      <w:fldSimple w:instr=" PAGEREF _Toc389809672 ">
        <w:r>
          <w:rPr>
            <w:noProof/>
          </w:rPr>
          <w:instrText>3</w:instrText>
        </w:r>
      </w:fldSimple>
      <w:r>
        <w:fldChar w:fldCharType="end"/>
      </w:r>
    </w:p>
    <w:p w:rsidR="005471D2" w:rsidRDefault="00384EC1">
      <w:pPr>
        <w:pStyle w:val="2"/>
      </w:pPr>
      <w:r>
        <w:t>Первый этап реформ</w:t>
      </w:r>
      <w:r>
        <w:tab/>
      </w:r>
      <w:r>
        <w:fldChar w:fldCharType="begin"/>
      </w:r>
      <w:r>
        <w:instrText xml:space="preserve"> GOTOBUTTON _Toc389809673  </w:instrText>
      </w:r>
      <w:fldSimple w:instr=" PAGEREF _Toc389809673 ">
        <w:r>
          <w:rPr>
            <w:noProof/>
          </w:rPr>
          <w:instrText>4</w:instrText>
        </w:r>
      </w:fldSimple>
      <w:r>
        <w:fldChar w:fldCharType="end"/>
      </w:r>
    </w:p>
    <w:p w:rsidR="005471D2" w:rsidRDefault="00384EC1">
      <w:pPr>
        <w:pStyle w:val="2"/>
      </w:pPr>
      <w:r>
        <w:t>Совет государственной обороны</w:t>
      </w:r>
      <w:r>
        <w:tab/>
      </w:r>
      <w:r>
        <w:fldChar w:fldCharType="begin"/>
      </w:r>
      <w:r>
        <w:instrText xml:space="preserve"> GOTOBUTTON _Toc389809674  </w:instrText>
      </w:r>
      <w:fldSimple w:instr=" PAGEREF _Toc389809674 ">
        <w:r>
          <w:rPr>
            <w:noProof/>
          </w:rPr>
          <w:instrText>5</w:instrText>
        </w:r>
      </w:fldSimple>
      <w:r>
        <w:fldChar w:fldCharType="end"/>
      </w:r>
    </w:p>
    <w:p w:rsidR="005471D2" w:rsidRDefault="00384EC1">
      <w:pPr>
        <w:pStyle w:val="2"/>
      </w:pPr>
      <w:r>
        <w:t>Второй этап проведения реформ</w:t>
      </w:r>
      <w:r>
        <w:tab/>
      </w:r>
      <w:r>
        <w:fldChar w:fldCharType="begin"/>
      </w:r>
      <w:r>
        <w:instrText xml:space="preserve"> GOTOBUTTON _Toc389809675  </w:instrText>
      </w:r>
      <w:fldSimple w:instr=" PAGEREF _Toc389809675 ">
        <w:r>
          <w:rPr>
            <w:noProof/>
          </w:rPr>
          <w:instrText>6</w:instrText>
        </w:r>
      </w:fldSimple>
      <w:r>
        <w:fldChar w:fldCharType="end"/>
      </w:r>
    </w:p>
    <w:p w:rsidR="005471D2" w:rsidRDefault="00384EC1">
      <w:pPr>
        <w:pStyle w:val="2"/>
      </w:pPr>
      <w:r>
        <w:t>Организация второочередных частей</w:t>
      </w:r>
      <w:r>
        <w:tab/>
      </w:r>
      <w:r>
        <w:fldChar w:fldCharType="begin"/>
      </w:r>
      <w:r>
        <w:instrText xml:space="preserve"> GOTOBUTTON _Toc389809676  </w:instrText>
      </w:r>
      <w:fldSimple w:instr=" PAGEREF _Toc389809676 ">
        <w:r>
          <w:rPr>
            <w:noProof/>
          </w:rPr>
          <w:instrText>6</w:instrText>
        </w:r>
      </w:fldSimple>
      <w:r>
        <w:fldChar w:fldCharType="end"/>
      </w:r>
    </w:p>
    <w:p w:rsidR="005471D2" w:rsidRDefault="00384EC1">
      <w:pPr>
        <w:pStyle w:val="2"/>
      </w:pPr>
      <w:r>
        <w:t>Закон о воинской повинности</w:t>
      </w:r>
      <w:r>
        <w:tab/>
      </w:r>
      <w:r>
        <w:fldChar w:fldCharType="begin"/>
      </w:r>
      <w:r>
        <w:instrText xml:space="preserve"> GOTOBUTTON _Toc389809677  </w:instrText>
      </w:r>
      <w:fldSimple w:instr=" PAGEREF _Toc389809677 ">
        <w:r>
          <w:rPr>
            <w:noProof/>
          </w:rPr>
          <w:instrText>8</w:instrText>
        </w:r>
      </w:fldSimple>
      <w:r>
        <w:fldChar w:fldCharType="end"/>
      </w:r>
    </w:p>
    <w:p w:rsidR="005471D2" w:rsidRDefault="00384EC1">
      <w:pPr>
        <w:pStyle w:val="2"/>
      </w:pPr>
      <w:r>
        <w:t>“Большая программа”</w:t>
      </w:r>
      <w:r>
        <w:tab/>
      </w:r>
      <w:r>
        <w:fldChar w:fldCharType="begin"/>
      </w:r>
      <w:r>
        <w:instrText xml:space="preserve"> GOTOBUTTON _Toc389809678  </w:instrText>
      </w:r>
      <w:fldSimple w:instr=" PAGEREF _Toc389809678 ">
        <w:r>
          <w:rPr>
            <w:noProof/>
          </w:rPr>
          <w:instrText>10</w:instrText>
        </w:r>
      </w:fldSimple>
      <w:r>
        <w:fldChar w:fldCharType="end"/>
      </w:r>
    </w:p>
    <w:p w:rsidR="005471D2" w:rsidRDefault="00384EC1">
      <w:pPr>
        <w:pStyle w:val="2"/>
      </w:pPr>
      <w:r>
        <w:t>Заключение</w:t>
      </w:r>
      <w:r>
        <w:tab/>
      </w:r>
      <w:r>
        <w:fldChar w:fldCharType="begin"/>
      </w:r>
      <w:r>
        <w:instrText xml:space="preserve"> GOTOBUTTON _Toc389809679  </w:instrText>
      </w:r>
      <w:fldSimple w:instr=" PAGEREF _Toc389809679 ">
        <w:r>
          <w:rPr>
            <w:noProof/>
          </w:rPr>
          <w:instrText>13</w:instrText>
        </w:r>
      </w:fldSimple>
      <w:r>
        <w:fldChar w:fldCharType="end"/>
      </w:r>
    </w:p>
    <w:p w:rsidR="005471D2" w:rsidRDefault="00384EC1">
      <w:pPr>
        <w:pStyle w:val="2"/>
      </w:pPr>
      <w:r>
        <w:fldChar w:fldCharType="end"/>
      </w:r>
      <w:r>
        <w:br w:type="page"/>
      </w:r>
      <w:bookmarkStart w:id="0" w:name="_Toc389809672"/>
      <w:r>
        <w:t>Предпосылки проведения реформы</w:t>
      </w:r>
      <w:bookmarkEnd w:id="0"/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 января 1900 г. в Морской Академии начались занятия военно-морской игры с целью проверки нашей боевое подготовки на Дальнем Востоке.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Японской стороной командовал адмирал Андрей Андреевич Вирениус, а русской - князь Александр Михайлович. Князь Андрей Михайлович в самом начале учений заявил, что намерен увести нашу эскадру из Владивостока и Порт-Артура на юг, навстречу тем подкреплениям, которые должны были направиться в дальневосточные воды из Балтийского моря, а если удастся, и из Черного. Это решение, хотя и обидное для нашего самолюбия, было вполне целесообразным вследствие слабости наших морских сил сравнительно с японскими. Но такое решение давало японцам полную свободу действий на море и возможность производить высадки на наших берегах беспрепятственно. Уже это одно доказывало, что в морском отношении Россия в 1900 г. была совершенно не готова к борьбе с Японией. 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Занятия проводились весьма серьезно и тщательно. Примечательно, что адмирал Вирениус, командовавший японской стороной, решил начать военные действия без объявления войны, как это и было сделано японцами в 1904 г., ровно через четыре года. Вирениус, так же как и японцы атаковал ночью  русские суда, стоявшие на наружном рейде у Порт-Артура.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Оказалось, что порт этот был так плохо оборудован, что починка поврежденных судов русской эскадры была весьма затруднительна. 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Перевозка войск по Сибирскому пути также оказалась затруднительной и медленной, а переправа через Байкал на ледоколах весьма непрактичной; выяснилась безусловная необходимость постройки кругобайкальской железной дороги.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После “удачного” нападения на русскую эскадру у Порт-Артура, “японцы” высадились у Дальнего и обложили Порт-Артур; вскоре настал период решительных действий, и адмирал Вирениус объявил посредникам, что он поведет главную атаку на северный фронт крепости, где у нас, отчасти из-за скалистого грунта, почти не было укреплений достаточной силы, а значительный участок около четырех верст совсем не был подготовлен к обороне. Посредники же решили эту атаку не проводить, ибо исход ее был предрешен заранее.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 окончились наши занятия, и они произвели тяжелое, гнетущее впечатление на всех участников.</w:t>
      </w:r>
      <w:r>
        <w:rPr>
          <w:rStyle w:val="a4"/>
          <w:rFonts w:ascii="Courier New" w:hAnsi="Courier New"/>
          <w:sz w:val="28"/>
        </w:rPr>
        <w:footnoteReference w:id="1"/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Таким образом необходимость реформ назрела задолго до их начала.</w:t>
      </w:r>
    </w:p>
    <w:p w:rsidR="005471D2" w:rsidRDefault="00384EC1">
      <w:pPr>
        <w:pStyle w:val="2"/>
      </w:pPr>
      <w:bookmarkStart w:id="1" w:name="_Toc389809673"/>
      <w:r>
        <w:t>Первый этап реформ</w:t>
      </w:r>
      <w:bookmarkEnd w:id="1"/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Военные реформы 1905-12 годов, проводились после поражения России в русско-японской войне 1904-05 годов, выявившей серьезные недостатки в центральном управлении, организации, системе комплектования, боевой подготовке и техническом оснащении армии. В первый период Военных реформ (1905-08) было децентрализовано высшее военное управление (учреждено независимое от Военного министерства Главное управление Генерального штаба, создан Совет государственной обороны, генералы-инспекторы были подчинены прямо императору), сокращены сроки действительной службы (  в пехоте и полевой артиллерии с 5 до 3 лет , в других родах войск с 5 до 4 лет, на флоте с 7 до 5 лет), омоложен офицерский состав; улучшены быт солдат и матросов (питание и вещевое довольствие) и материальное положение офицеров и сверхсрочнослужащих.</w:t>
      </w:r>
      <w:r>
        <w:rPr>
          <w:rStyle w:val="a4"/>
          <w:rFonts w:ascii="Courier New" w:hAnsi="Courier New"/>
          <w:sz w:val="28"/>
        </w:rPr>
        <w:footnoteReference w:id="2"/>
      </w:r>
      <w:r>
        <w:rPr>
          <w:rFonts w:ascii="Courier New" w:hAnsi="Courier New"/>
          <w:sz w:val="28"/>
        </w:rPr>
        <w:t xml:space="preserve"> </w:t>
      </w:r>
    </w:p>
    <w:p w:rsidR="005471D2" w:rsidRDefault="00384EC1">
      <w:pPr>
        <w:pStyle w:val="2"/>
      </w:pPr>
      <w:bookmarkStart w:id="2" w:name="_Toc389809674"/>
      <w:r>
        <w:t>Совет государственной обороны</w:t>
      </w:r>
      <w:bookmarkEnd w:id="2"/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Вот что пишет об этом генерал от инфантерии Епанчин: 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5 мая 1905 года был утвержден Совет государственной обороны; мысль об этом учреждении была совершенно правильной: необходимо было такое учреждение, в котором сосредотачивались бы главные вопросы обороны государства, при участии представителей военного и морского ведомств. Председателем был назначен князь Николай Николаевич, одновременно с этим последовало преобразование Военного министерства и учреждение должности инспектора пехоты; на эту должность был назначен генерал-адъютант О.К.Гриппенберг. По вопросу о преобразовании Военного министерства было предложено создание должности начальника Генерального Штаба, независимого от военного министра. Аналогично было предложено преобразование и Морского министерства, а именно учредить должности командующих флотами и подчинить их Государю через Совет государственной обороны. Проект был отклонен, так как деятельность Совета была неудовлетворительной. </w:t>
      </w:r>
    </w:p>
    <w:p w:rsidR="005471D2" w:rsidRDefault="00384EC1">
      <w:pPr>
        <w:pStyle w:val="2"/>
      </w:pPr>
      <w:bookmarkStart w:id="3" w:name="_Toc389809675"/>
      <w:r>
        <w:t>Второй этап проведения реформ</w:t>
      </w:r>
      <w:bookmarkEnd w:id="3"/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 второй период Военных реформ (1909-12) была проведена централизация высшего управления (Главное управление Генштаба включено в состав Военного министерства, упразднен Совет государственной обороны, генералы-инспекторы подчинены военному министру); за счет слабых в боевом отношении резервных и крепостных войск усилены полевые войска (число армейских корпусов увеличилось с 31 до 37), создан при полевых частях запас, который при мобилизации выделялся для развертывания второочередных (включая полевую артиллерию, инженерные и железнодорожные войска, части связи), созданы пулеметные команды в полках и корпусные авиаотряды, юнкерские училища преобразованы в военные училища, получившие новые программы, введены новые уставы и наставления.</w:t>
      </w:r>
    </w:p>
    <w:p w:rsidR="005471D2" w:rsidRDefault="00384EC1">
      <w:pPr>
        <w:pStyle w:val="2"/>
      </w:pPr>
      <w:bookmarkStart w:id="4" w:name="_Toc389809676"/>
      <w:r>
        <w:t>Организация второочередных частей</w:t>
      </w:r>
      <w:bookmarkEnd w:id="4"/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... В 1910 г. нашей армией было проведено образование второочередных частей. Эта мера увеличивала численность нашей армии при мобилизации, по понижала ее боевые качества.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принятой во всех армиях системе мобилизации, качество армии, особенно пехоты, в военное время значительно понижалось, ибо в строй вступали люди из запаса, более или менее отвыкшие от военной службы, отставшие от современных требований и более или менее устаревшие. Чтобы они не отвыкли от военной службы, их периодически призывали в учебные сборы, но краткость этих сборов не могла дать этим людям необходимого освежения познаний и навыка к службе; да, кроме того, эти сборы ради экономии, проводились не всегда. При коротких сроках службы пехота уже не имела качеств вполне надежных кадровых войск, а при мобилизации в войска поступали запасные худшего качества, чем люди, бывшие на службе, и, таким образом, качества пехотных частей значительно понижались при мобилизации.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Формирование второочередных частей еще более понизило эти качества, так как с началом мобилизации полки выделяли из своего состава с лишком 20 офицеров и 250 унтер-офицеров и ефрейторов, которые шли на формирование второочередного полка, а весь остальной состав этих полков составляли запасные; в действующие же полки, вместо выделенных из них офицеров и унтер-офицеров, назначались таковые из отставки, а также прапорщики запаса со слабой подготовкой. Таким образом и кадровый полк, и второочередной главным образом состояли из запасных.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Слабые стороны этого преобразования следовало по возможности устранить соответствующими мерами, и вот в Петербурге решили произвести опыт формирования второочередных частей, чтобы на таком действительном опыте проверить это новое дело.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Петербурге все чины, призываемые во второочередной полк, должны были быть назначены из действующих частей. Такое распоряжение совершенно изменило характер опыта, ибо, во-первых, не был проверки призыва из отставки и запаса, во-вторых, вся работа с чинами, состоящими на службе, была гораздо проще и легче, чем с отставными и запасными; в-третьих, все операции по формированию, обмундированию, снаряжению, расквартированию и пр. и пр. значительно упрощалась, и в результате получалось не действительное формирование, как это было установлено мобилизационным планом, составленному по новому закону о формированиях, а произвольное, т.е. получился самообман.</w:t>
      </w:r>
    </w:p>
    <w:p w:rsidR="005471D2" w:rsidRDefault="00384EC1">
      <w:pPr>
        <w:pStyle w:val="2"/>
      </w:pPr>
      <w:bookmarkStart w:id="5" w:name="_Toc389809677"/>
      <w:r>
        <w:t>Закон о воинской повинности</w:t>
      </w:r>
      <w:bookmarkEnd w:id="5"/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В 1912 году  принят новый закон о воинской повинности. По Уставу воинской повинности 1874 года  военную службу должны были отбывать все лица мужского пола в возрасте 21-40 лет. Срок действительной службы устанавливался в армии 6 и на флоте 7 лет, в запасе армии 9 лет, флота 3 года. Затем военнообязанные переводились в Государственное ополчение, куда зачислялись и освобожденному от призыва. Позже сроки действительной службы сокращались. Новый закон 1912 года установил следующие основания Всеобщей воинской повинности :призывной возраст  20 лет ; общий срок службы 23 года, из них действительная служба в пехоте и пешей артиллерии 3 года, в других родах войск 4 года , на флоте 5 лет ; в запасе : в пехоте и пешей артиллерии 15 лет , в других родах войск 13 лет , на флоте 5 лет , затем в Государственном ополчении первого разряда. Освобожденные от призыва , но годные или ограниченно годные к службе зачислялись в Государственное ополчение второго разряда. В 1915 году призывной возраст был понижен до 19 лет. Всеобщая воинская повинность фактически не была всеобщей. Свыше 50% призывников освобождалось по льготам : по семейному положению ( единственные сыновья и кормильцы ), по роду занятий ( священнослужители , в мирное время врачи , фармацевты , воспитатели и преподаватели ). Не подлежали призыву представители народов Севера и Средней Азии , некоторых народов  Кавказа , Сибири и Урала. Казаки отбывали воинскую повинность на особых условиях. Для лиц с высшим и средним образованием срок действительной службы сокращался до 1-3 лет. Введение Всеобщей воинской повинности позволило сократить численность армии в мирное время и обеспечить накопление обученных резервов.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...Что же касается сокращения срока службы, то это не только ухудшало подготовку солдат, отрицательно влияло на слаженность, но и значительно затрудняло работу офицеров, и без того тяжелую. Например, военные врачи, имевшие специальную подготовку, получали весьма скромное содержание, а возможности частной практики не представлялось, что сказывалось и на их подготовке...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...По окончании Японской войны был учрежден еще особый разряд сверхсрочных, с наименованием их подпрапорщиками, они отличались от остальных сверхсрочнослужащих тем, что офицеры говорили им “вы”, а не “ты”, как ко всем нижним чинам. Они имели улучшенное материальное положение и особые внешние отличия в виде особого вида погон. В нравственном отношении положение сверхсрочных было не во всех отношениях благоприятным, дело в том, что солдаты относились к ним с некоторым пренебрежением, промеж себя они называли их “продажными шкурами”, считая, что они служат из-за денег и других выгод...</w:t>
      </w:r>
      <w:r>
        <w:rPr>
          <w:rStyle w:val="a4"/>
          <w:rFonts w:ascii="Courier New" w:hAnsi="Courier New"/>
          <w:sz w:val="28"/>
        </w:rPr>
        <w:footnoteReference w:id="3"/>
      </w:r>
    </w:p>
    <w:p w:rsidR="005471D2" w:rsidRDefault="00384EC1">
      <w:pPr>
        <w:pStyle w:val="2"/>
      </w:pPr>
      <w:bookmarkStart w:id="6" w:name="_Toc389809678"/>
      <w:r>
        <w:t>“Большая программа”</w:t>
      </w:r>
      <w:bookmarkEnd w:id="6"/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Также в 1912 году началась разработка “ Большой программы по усилению армии “ , одно из важнейших мероприятий военного ведомства по усилению сухопутных войск . В конце 1912 года Отдел по устройству и службе войск Главного управления Генштаба (ГУГШ) под руководством генерала-лейтенанта М.А.Беляева приступил к разработке “ Большой программы “. 6.3 и 22.10.1913 основные положения “ Большой программы “ были одобрены Николаем II . Выполнение программы намечалось на 1914-18 года. “ Большая программа “ была рассчитана на подготовку к кратковременной войне . Поэтому намеченные мероприятия имели целью усиление первоочередных войск ( армии мирного времени ). “ Большая программа” предусматривала увеличить армию на 468200 нижних чинов ( на 39,2% ) и на 11772 офицера ( на 28,2% ). Устанавливалось 3 состава пехотной роты : нормальный - 120 человек , усиленный - 168 и полный - 200 человек. Полки , дислоцированные у границ , должны были иметь полный состав . Планировалось сформировать 32 четырехбатальонных и 6 двухбатальонных полков . Намечалось увеличить число полков в кавалерийских дивизиях с 4 до 5-6 , чтобы вновь сформированные полки во время войны образовали бы войсковую конницу , которой армия не имела . Предусматривалось создать 26 кавалерийских полков ( в 1913 году было 67 полков ). Особое внимание “Большая программа “ уделяла артиллерии , которая значительно уступала германской . Предполагалось трудноуправляемые и малоподвижные в бою легкие 8-орудийные (76-мм пушки) батареи заменить 6-орудийными, увеличить число легких батарей в артиллерийской бригаде с 6 до 9, а количество 76-мм пушек в армейском корпусе с 96 до 108, придать каждому корпусу в мироне время второй мортирный (122-мм гаубицы) дивизион, дивизион полевой тяжелой артиллерии в составе 2 батарей 107-мм пушек и 1 батареи 152-мм гаубиц (по 4 орудия), создать 4 новые артиллерийские бригады и 2 тяжелых артиллерийских дивизиона. Таким образом, число батарей в армии планировалось увеличить с 639 до 1197, а число орудий полевой артиллерии в военное время - до 8358 (в том числе 312 107-мм пушек и 156 152-мм гаубиц). В инженерных войсках намечалось устранить различия между полевыми и крепостными частями, создать несколько новых частей, усилить прожекторные команды в саперных батальонах и искровые части. Количество воздухоплавательных рот должно было возрасти с 5 до 7. Предусматривалось придать каждому армейскому корпусу и крепости по авиационному отряду, а также сформировать отряды для дальней разведки и борьбы с воздушным флотом противника по числу армий и крупных кавалерийских соединений. Всего намечалось создать 28 авиационных отрядов, 5 авиарот и 3 авиашколы. Планировалось формирование 5 автомобильных рот и 6 команд корпусных обозных частей. “Большая программа” предусматривала обеспечение армии воздухоплавательной, авиационной и автомобильной техникой, расширение военных заводов и арсеналов. Главное управление военно-учебных заведений разработало 4-летний план по увеличению выпуска юнкеров пехотных училищ и учреждению новых пехотных училищ. Офицерский состав пехоты должен был увеличиться к 1918 году на 1693 человек, а еще через 5 лет - на 4837 человек, хотя это все же не обеспечивало необходимого числа офицеров. На осуществление “Большой программы” требовалось 433,2 млн. рублей. 24.6.1914 “Большая программа” была утверждена. Военное ведомство еще до этого приступило к реализации “Большой программы”; в 1913 был увеличен контингент новобранцев на 24, 9 тыс. чел.; с 1914 года начали формироваться новые части и учреждения, расширялось производство вооружения, совершенствовалась подготовка офицеров. Дальнейшая реализация “Большой программы” была прервана начавшейся войной.</w:t>
      </w:r>
    </w:p>
    <w:p w:rsidR="005471D2" w:rsidRDefault="00384EC1">
      <w:pPr>
        <w:pStyle w:val="2"/>
      </w:pPr>
      <w:bookmarkStart w:id="7" w:name="_Toc389809679"/>
      <w:r>
        <w:t>Заключение</w:t>
      </w:r>
      <w:bookmarkEnd w:id="7"/>
      <w:r>
        <w:t xml:space="preserve"> 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Что же касается до русского воинства, то его блестящие нравственные качества: самоотвержение, храбрость, выносливость - проявлялись на протяжении всей нашей истории, и свидетелями этих качеств были не только поля и моря России, Европы и Азии, но и Париж, Берлин, Альпы, Балканы...</w:t>
      </w:r>
    </w:p>
    <w:p w:rsidR="005471D2" w:rsidRDefault="00384EC1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Русский народ и русское воинство несли жертвы не только за себя, но и за других “униженных и угнетенных”; это знают греки, румыны, сербы, болгары и даже немцы, которых наши войска освободили от Наполеона...</w:t>
      </w:r>
    </w:p>
    <w:p w:rsidR="005471D2" w:rsidRDefault="005471D2">
      <w:pPr>
        <w:spacing w:line="360" w:lineRule="auto"/>
        <w:ind w:firstLine="567"/>
        <w:rPr>
          <w:rFonts w:ascii="Courier New" w:hAnsi="Courier New"/>
          <w:sz w:val="28"/>
        </w:rPr>
      </w:pPr>
    </w:p>
    <w:p w:rsidR="005471D2" w:rsidRDefault="00384EC1">
      <w:pPr>
        <w:spacing w:line="360" w:lineRule="auto"/>
        <w:ind w:firstLine="567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Список используемой литературы:</w:t>
      </w:r>
    </w:p>
    <w:p w:rsidR="005471D2" w:rsidRDefault="00384EC1">
      <w:pPr>
        <w:numPr>
          <w:ilvl w:val="0"/>
          <w:numId w:val="1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Отечественная история. Энциклопедия, том 1. Москва, 1994</w:t>
      </w:r>
    </w:p>
    <w:p w:rsidR="005471D2" w:rsidRDefault="00384EC1">
      <w:pPr>
        <w:numPr>
          <w:ilvl w:val="0"/>
          <w:numId w:val="2"/>
        </w:numPr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Епанчин Н. А. “На службе трех императоров”, Москва, 1996</w:t>
      </w:r>
      <w:bookmarkStart w:id="8" w:name="_GoBack"/>
      <w:bookmarkEnd w:id="8"/>
    </w:p>
    <w:sectPr w:rsidR="005471D2">
      <w:headerReference w:type="even" r:id="rId7"/>
      <w:headerReference w:type="default" r:id="rId8"/>
      <w:pgSz w:w="11906" w:h="16838"/>
      <w:pgMar w:top="1440" w:right="1800" w:bottom="144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D2" w:rsidRDefault="00384EC1">
      <w:r>
        <w:separator/>
      </w:r>
    </w:p>
  </w:endnote>
  <w:endnote w:type="continuationSeparator" w:id="0">
    <w:p w:rsidR="005471D2" w:rsidRDefault="0038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tiqua H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zhits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D2" w:rsidRDefault="00384EC1">
      <w:r>
        <w:separator/>
      </w:r>
    </w:p>
  </w:footnote>
  <w:footnote w:type="continuationSeparator" w:id="0">
    <w:p w:rsidR="005471D2" w:rsidRDefault="00384EC1">
      <w:r>
        <w:continuationSeparator/>
      </w:r>
    </w:p>
  </w:footnote>
  <w:footnote w:id="1">
    <w:p w:rsidR="005471D2" w:rsidRDefault="00384EC1">
      <w:pPr>
        <w:pStyle w:val="a3"/>
      </w:pPr>
      <w:r>
        <w:rPr>
          <w:rStyle w:val="a4"/>
        </w:rPr>
        <w:footnoteRef/>
      </w:r>
      <w:r>
        <w:t xml:space="preserve"> Н. А. Епанчин “На службе трех императоров”</w:t>
      </w:r>
    </w:p>
  </w:footnote>
  <w:footnote w:id="2">
    <w:p w:rsidR="005471D2" w:rsidRDefault="00384EC1">
      <w:pPr>
        <w:pStyle w:val="a3"/>
      </w:pPr>
      <w:r>
        <w:rPr>
          <w:rStyle w:val="a4"/>
        </w:rPr>
        <w:footnoteRef/>
      </w:r>
      <w:r>
        <w:t xml:space="preserve"> Отечественная история, энциклопедия, том 1 с. 431</w:t>
      </w:r>
    </w:p>
  </w:footnote>
  <w:footnote w:id="3">
    <w:p w:rsidR="005471D2" w:rsidRDefault="00384EC1">
      <w:pPr>
        <w:pStyle w:val="a3"/>
      </w:pPr>
      <w:r>
        <w:rPr>
          <w:rStyle w:val="a4"/>
        </w:rPr>
        <w:footnoteRef/>
      </w:r>
      <w:r>
        <w:t xml:space="preserve"> Н. А. Епанчин “На службе трех императоров”, с. 362-364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D2" w:rsidRDefault="00384E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1D2" w:rsidRDefault="005471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1D2" w:rsidRDefault="00384E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5471D2" w:rsidRDefault="005471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50E7C"/>
    <w:multiLevelType w:val="singleLevel"/>
    <w:tmpl w:val="8496FD0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EC1"/>
    <w:rsid w:val="00384EC1"/>
    <w:rsid w:val="005471D2"/>
    <w:rsid w:val="0060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409F2-1D0A-4C40-AC07-5FEF315D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outlineLvl w:val="1"/>
    </w:pPr>
    <w:rPr>
      <w:rFonts w:ascii="Courier New" w:hAnsi="Courier New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pPr>
      <w:ind w:left="3969"/>
    </w:pPr>
    <w:rPr>
      <w:b/>
      <w:sz w:val="28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11">
    <w:name w:val="toc 1"/>
    <w:basedOn w:val="a"/>
    <w:next w:val="a"/>
    <w:semiHidden/>
    <w:pPr>
      <w:tabs>
        <w:tab w:val="right" w:leader="dot" w:pos="8504"/>
      </w:tabs>
      <w:spacing w:before="120" w:after="120"/>
    </w:pPr>
    <w:rPr>
      <w:rFonts w:ascii="Times New Roman" w:hAnsi="Times New Roman"/>
      <w:b/>
      <w:caps/>
      <w:sz w:val="20"/>
    </w:rPr>
  </w:style>
  <w:style w:type="paragraph" w:styleId="20">
    <w:name w:val="toc 2"/>
    <w:basedOn w:val="a"/>
    <w:next w:val="a"/>
    <w:semiHidden/>
    <w:pPr>
      <w:tabs>
        <w:tab w:val="right" w:leader="dot" w:pos="8504"/>
      </w:tabs>
    </w:pPr>
    <w:rPr>
      <w:rFonts w:ascii="Times New Roman" w:hAnsi="Times New Roman"/>
      <w:smallCaps/>
      <w:sz w:val="20"/>
    </w:rPr>
  </w:style>
  <w:style w:type="paragraph" w:styleId="3">
    <w:name w:val="toc 3"/>
    <w:basedOn w:val="a"/>
    <w:next w:val="a"/>
    <w:semiHidden/>
    <w:pPr>
      <w:tabs>
        <w:tab w:val="right" w:leader="dot" w:pos="8504"/>
      </w:tabs>
      <w:ind w:left="240"/>
    </w:pPr>
    <w:rPr>
      <w:rFonts w:ascii="Times New Roman" w:hAnsi="Times New Roman"/>
      <w:i/>
      <w:sz w:val="20"/>
    </w:rPr>
  </w:style>
  <w:style w:type="paragraph" w:styleId="4">
    <w:name w:val="toc 4"/>
    <w:basedOn w:val="a"/>
    <w:next w:val="a"/>
    <w:semiHidden/>
    <w:pPr>
      <w:tabs>
        <w:tab w:val="right" w:leader="dot" w:pos="8504"/>
      </w:tabs>
      <w:ind w:left="480"/>
    </w:pPr>
    <w:rPr>
      <w:rFonts w:ascii="Times New Roman" w:hAnsi="Times New Roman"/>
      <w:sz w:val="18"/>
    </w:rPr>
  </w:style>
  <w:style w:type="paragraph" w:styleId="5">
    <w:name w:val="toc 5"/>
    <w:basedOn w:val="a"/>
    <w:next w:val="a"/>
    <w:semiHidden/>
    <w:pPr>
      <w:tabs>
        <w:tab w:val="right" w:leader="dot" w:pos="8504"/>
      </w:tabs>
      <w:ind w:left="720"/>
    </w:pPr>
    <w:rPr>
      <w:rFonts w:ascii="Times New Roman" w:hAnsi="Times New Roman"/>
      <w:sz w:val="18"/>
    </w:rPr>
  </w:style>
  <w:style w:type="paragraph" w:styleId="6">
    <w:name w:val="toc 6"/>
    <w:basedOn w:val="a"/>
    <w:next w:val="a"/>
    <w:semiHidden/>
    <w:pPr>
      <w:tabs>
        <w:tab w:val="right" w:leader="dot" w:pos="8504"/>
      </w:tabs>
      <w:ind w:left="960"/>
    </w:pPr>
    <w:rPr>
      <w:rFonts w:ascii="Times New Roman" w:hAnsi="Times New Roman"/>
      <w:sz w:val="18"/>
    </w:rPr>
  </w:style>
  <w:style w:type="paragraph" w:styleId="7">
    <w:name w:val="toc 7"/>
    <w:basedOn w:val="a"/>
    <w:next w:val="a"/>
    <w:semiHidden/>
    <w:pPr>
      <w:tabs>
        <w:tab w:val="right" w:leader="dot" w:pos="8504"/>
      </w:tabs>
      <w:ind w:left="1200"/>
    </w:pPr>
    <w:rPr>
      <w:rFonts w:ascii="Times New Roman" w:hAnsi="Times New Roman"/>
      <w:sz w:val="18"/>
    </w:rPr>
  </w:style>
  <w:style w:type="paragraph" w:styleId="8">
    <w:name w:val="toc 8"/>
    <w:basedOn w:val="a"/>
    <w:next w:val="a"/>
    <w:semiHidden/>
    <w:pPr>
      <w:tabs>
        <w:tab w:val="right" w:leader="dot" w:pos="8504"/>
      </w:tabs>
      <w:ind w:left="1440"/>
    </w:pPr>
    <w:rPr>
      <w:rFonts w:ascii="Times New Roman" w:hAnsi="Times New Roman"/>
      <w:sz w:val="18"/>
    </w:rPr>
  </w:style>
  <w:style w:type="paragraph" w:styleId="9">
    <w:name w:val="toc 9"/>
    <w:basedOn w:val="a"/>
    <w:next w:val="a"/>
    <w:semiHidden/>
    <w:pPr>
      <w:tabs>
        <w:tab w:val="right" w:leader="dot" w:pos="8504"/>
      </w:tabs>
      <w:ind w:left="1680"/>
    </w:pPr>
    <w:rPr>
      <w:rFonts w:ascii="Times New Roman" w:hAnsi="Times New Roman"/>
      <w:sz w:val="18"/>
    </w:rPr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Военная реформа 1905-12 годов.</vt:lpstr>
    </vt:vector>
  </TitlesOfParts>
  <Company>ОАСО "Континент-Полис"</Company>
  <LinksUpToDate>false</LinksUpToDate>
  <CharactersWithSpaces>15449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Военная реформа 1905-12 годов.</dc:title>
  <dc:subject/>
  <dc:creator>Литвиненко Тимур Александрович</dc:creator>
  <cp:keywords/>
  <cp:lastModifiedBy>admin</cp:lastModifiedBy>
  <cp:revision>2</cp:revision>
  <cp:lastPrinted>1997-06-01T18:59:00Z</cp:lastPrinted>
  <dcterms:created xsi:type="dcterms:W3CDTF">2014-02-04T13:59:00Z</dcterms:created>
  <dcterms:modified xsi:type="dcterms:W3CDTF">2014-02-04T13:59:00Z</dcterms:modified>
</cp:coreProperties>
</file>