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Военные реформы 1861-1874 гг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Введение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Проведенные Александром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реформы, сыграли огромную роль в истории нашего государства. При этом данные реформы затронули практически все основные сферы государственной и социальной жизни российского общества того периода.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дореформенной армии определялось социально-экономической обстановкой, сложившейся в России на рубеже XVIII-XIX вв.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Отсталость дореформенной экономики определяли состояние русской армии и военной промышленности в середине XIX в. Военное поражение в Крымской войне не оставило ни у кого сомнений в необходимости преобразований в военной области.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работе будут рассмотрены основные сферы военного дела, которые были реформированы Александром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 они провели перестройку органов управляющих армией; территориальное переустройство командования частями. Также были преобразованы сами структуры государственного аппарата непосредственно командующего армией, это коснулось и министерства. Кроме того, большое влияние оказала правовая реформа в сфере регулирования данной деятельностью, это привело к тому что у большинства частей были разработаны Уставы, что вело к некоторой дисциплинированности (рядового состава и командования) в соответствии с данными Уставами.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0" w:name="_Toc50905169"/>
      <w:r>
        <w:rPr>
          <w:b/>
          <w:bCs/>
          <w:color w:val="000000"/>
        </w:rPr>
        <w:t>1. Исторические предпосылки необходимости реформировании армии</w:t>
      </w:r>
      <w:bookmarkEnd w:id="0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Неудачи в Крымской войне были тяжелым оскорблением для народного самолюбия и заставили глубже отнестись к их причинам</w:t>
      </w:r>
      <w:r>
        <w:rPr>
          <w:rStyle w:val="a8"/>
          <w:color w:val="000000"/>
          <w:sz w:val="24"/>
          <w:szCs w:val="24"/>
          <w:vertAlign w:val="baseline"/>
        </w:rPr>
        <w:footnoteReference w:id="1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Стали очевидными многие слабые стороны как во внутренней организации войска, так и несовершенство всей системы Военного и Морского министерства. Подготовка офицерского состава была крайне низкой. Образованные офицеры в армии составляли исключение. 60 %, а в некоторых частях и до 80 % являлись недоучками среднеучебных заведений, имевшими за плечами уездные училища или кантонистскую школу, просто домашнее образование или выслужившимися из низкого звания. Образованные офицеры служили в основном в гвардии, которая после события 14 декабря 1825 г. находилась под особым надзором Николая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Значительная часть офицеров чванились своим мундиром, с утра до ночи играли в карты, проводила время в попойках и кутежах. Обучение солдат в большинстве случаев лежало на фельдфебелях и унтер-офицерах, применявших жестокие наказания и истязания. Офицеры на это явление смотрели снисходительно. Суровая военная дисциплина грозила солдату ежедневно розгами, плетьми, а то и «прогон» сквозь строй. Шпицрутены в 3000 ударов были обычным делом. Такая жизнь для человека, отданного в солдаты, тянулась по закону 25 лет</w:t>
      </w:r>
      <w:r>
        <w:rPr>
          <w:rStyle w:val="a8"/>
          <w:color w:val="000000"/>
          <w:sz w:val="24"/>
          <w:szCs w:val="24"/>
          <w:vertAlign w:val="baseline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службу рекрутов набирали по шести человек с тысячи. Причем можно было ставить за себя охотника – человека, нанятого для того за деньги. Заметим, что рекрутская повинность со второй половины 18 столетия лежала исключительно на мещанах и крестьянах. Они не только отбывали ее натурой, но обязаны были также нести с отправлением рекрутства расходы, составлявшие около 5 миллионов рублей в год. Помещики имели право отдавать на военную службу крепостных в наказание за преступления и проступки. Так же, как они ссылали своих крепостных в Сибирь, отправляли для наказания в съезжий дом (помещение при полиции для арестованных) или гноили в тюрьмах</w:t>
      </w:r>
      <w:r>
        <w:rPr>
          <w:rStyle w:val="a8"/>
          <w:color w:val="000000"/>
          <w:sz w:val="24"/>
          <w:szCs w:val="24"/>
          <w:vertAlign w:val="baseline"/>
        </w:rPr>
        <w:footnoteReference w:id="3"/>
      </w:r>
      <w:r>
        <w:rPr>
          <w:color w:val="000000"/>
          <w:sz w:val="24"/>
          <w:szCs w:val="24"/>
        </w:rPr>
        <w:t xml:space="preserve">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Снаряжение солдат было тяжелым и неудобным. Вооружение никуда не годилось. Гладкоствольные оружия подходили только для рукопашных схваток, а в стрельбе бессильны против нарезного оружия, что и было одной из главных причин многих неудач в сражениях с «союзниками». Штыковой рукопашный бой русских войск не имел себе равного. Но прежде чем атакующее подразделение достигало противника, оно несло большие потери от его огня</w:t>
      </w:r>
      <w:r>
        <w:rPr>
          <w:rStyle w:val="a8"/>
          <w:color w:val="000000"/>
          <w:sz w:val="24"/>
          <w:szCs w:val="24"/>
          <w:vertAlign w:val="baseline"/>
        </w:rPr>
        <w:footnoteReference w:id="4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1" w:name="_Toc50905170"/>
      <w:r>
        <w:rPr>
          <w:b/>
          <w:bCs/>
          <w:color w:val="000000"/>
        </w:rPr>
        <w:t>2. Основные направления реформирования армии</w:t>
      </w:r>
      <w:bookmarkEnd w:id="1"/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2" w:name="_Toc50905171"/>
      <w:r>
        <w:rPr>
          <w:b/>
          <w:bCs/>
          <w:color w:val="000000"/>
        </w:rPr>
        <w:t>2.1. Реформы в области организации армии (отдельных формирований)</w:t>
      </w:r>
      <w:bookmarkEnd w:id="2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основной цели Милютина - создание небольшой кадровой армии, которая, при необходимости могла быть быстро увеличена за счет призыва обученных людей из запаса, продолжалось в течение всей военной реформы.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1862 г. Военное министерство предприняло ряд мер по к сокращению численного состава армии, главным образом за счет сокращения ее «не боевой» части - этапных команд, рабочих рот, корпуса внутренней стражи (83 тыс. чел).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докладе Военного министерства были рассмотрены меры преобразования всей военной системы, создания более рациональной системы военной организации по следующим направлениям: превратить резервные войска боевой резерв, обеспечить пополнение ими состава действующих войск и освободив их от обязанности обучать в военное время рекрут; подготовку рекрутов возложить на запасные войска, обеспечив их достаточными кадрами; всех заштатных «нижних чинов» резервных и запасных войск, в мирное время считать в отпуску и призывать в военное. Рекрутами пополнять убыль в действующих войсках, а не формировать из них новых частей; сформировать для мирного времени кадры запасных войск, возложив на них гарнизонную службу, расформировав батальоны внутренней службы.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организации пехотных и кавалерийских частей указывалось на целесообразность включать в состав батальона 4 роты (а не 5), а в состав полка 4 батальона (а для внутренних губерний - 2 батальона), причем в целях избежания формирования новых частей в случае войны, содержать их в уменьшенном составе. Предполагалось установить для пехоты 3 штатных состава: кадровый, по штатам мирного времени и по штатам военного времени (кадровый составлял половину военного).</w:t>
      </w:r>
      <w:r>
        <w:rPr>
          <w:rStyle w:val="a8"/>
          <w:color w:val="000000"/>
          <w:sz w:val="24"/>
          <w:szCs w:val="24"/>
          <w:vertAlign w:val="baseline"/>
        </w:rPr>
        <w:footnoteReference w:id="5"/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Артиллерийские части должны были быть организованы по следующему принципу: при каждой пехотной дивизии иметь одну артиллерийскую бригаду из 4 батарей, (для дивизий 2-батальонного состава - артиллерийскую бригаду из 2 батарей).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быстро внедрить эту организацию не удалось, и лишь с 1864 г., после подавления основных очагов восстания в Польше, была начата планомерная реорганизация армии и сокращение численного состава войск.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установлены следующие штатные составы полков: военного времени (по 900 рядовых в батальоне), усиленный мирный (по 680 рядовых в батальоне), обыкновенный мирный (по 500 рядовых в батальоне) и кадровый мирный (по 320 рядовых в батальоне). Вся пехота составила 47 пехотных дивизий (40 армейских, 4 гренадерских и 3 гвардейских). Дивизия состояла из 4 полков, полк из 3 батальонов, батальон из 4 линейных и 1 стрелковой рот.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Артиллерия делилась на конную и пешую. Пешая состояла из 47 артиллерийских бригад (по числу дивизий), каждая из 3-х батарей по 8 (4) орудий. Конная артиллерия состояла из 4 гвардейских конных батарей и 7 конно-артиллерийских бригад по 2 батареи</w:t>
      </w:r>
      <w:r>
        <w:rPr>
          <w:rStyle w:val="a8"/>
          <w:color w:val="000000"/>
          <w:sz w:val="24"/>
          <w:szCs w:val="24"/>
          <w:vertAlign w:val="baseline"/>
        </w:rPr>
        <w:footnoteReference w:id="6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Кавалерия состояла из 56 полков - по 4 эскадрона (4 кирасирских, 20 драгунских, 16 уланских и 16 гусарских), составлявших 10 кавалерийских дивизий.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Инженерные войска состояли из 11 саперных батальонов и 6 понтонных полубатальонов.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действующим войскам относились крепостные полки и батальоны, а также 54 крепостных артиллерийских роты.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местным войскам с 1864 г. стали относиться как резервные (выполняющие теперь роль функции запасных войск), так и войска внутренней службы (губернские батальоны, уездные, местные этапные и конвойные команды).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1869 г. было завершено приведение войск на новые штаты. При этом общее количество войск в мирное время по сравнению с 1860 годом сократилось с 899 тыс. чел. до 726 тыс. чел. (в основном за счет сокращения «не боевого» элемента). А количество резервистов в запасе увеличилось с 242 до 553 тыс. чел. При этом с переходом на штаты военного новых частей и соединений теперь не формировалось, а части разворачивались за счет резервистов. Все войска могли теперь быть доукомплектованы до штатов военного времени за 30-40 дней, в то время как в 1859 г. на это требовалось 6 месяцев.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новая система организации войск содержала и ряд недостатков: организация пехоты сохранила деление на линейные и стрелковые роты (при одинаковом вооружении смысла в этом не было); артиллерийские бригады не были включены в состав пехотных дивизий, что отрицательно влияло на их взаимодействия; из 3-х бригад кавалерийских дивизий (гусарской, уланской и драгунской), только драгунские были вооружены карабинами, а остальные не имели огнестрельного вооружения, в то время, как вся кавалерия европейских была вооружена пистолетами</w:t>
      </w:r>
      <w:r>
        <w:rPr>
          <w:rStyle w:val="a8"/>
          <w:color w:val="000000"/>
          <w:sz w:val="24"/>
          <w:szCs w:val="24"/>
          <w:vertAlign w:val="baseline"/>
        </w:rPr>
        <w:footnoteReference w:id="7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3" w:name="_Toc50905172"/>
      <w:r>
        <w:rPr>
          <w:b/>
          <w:bCs/>
          <w:color w:val="000000"/>
        </w:rPr>
        <w:t>2.2. Территориальное устройство управления войсками</w:t>
      </w:r>
      <w:bookmarkEnd w:id="3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преобразованием в области реорганизации военного управления явилась военно-окружная система.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стройной системы местного управления войск являлось важнейшей задачей, стоящей перед Военным министерством, без выполнения которой были невозможны дальнейшие преобразования в армии. Необходимость данных преобразований обуславливалась тем, что штабы армий выполняли как командные, так и административно-снабженческие функции по отношению подчиненных частей, аналогичные задачи возлагались и на корпусные штабы. Практически штабы не могли эффективно исполнять ни тех, ни других функций, особенно если подчиненные им части были рассредоточены по разным губерниям.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мае 1862 г. Милютин представил Александру II предложения под заглавием «Главные основания предполагаемого устройства военного управления по округам». В основе этого документа лежали следующие положения: уничтожить деление в мирное время на армии и корпуса, высшей тактической единицей считать дивизию; разделить территорию всего государства на несколько военных округов; во главе округа поставить начальника, на которого возложить надзор за действующими войсками и командование местными войсками, а также поручить ему управление всеми местными военными учреждениями.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Милютин предложил создать территориальную, окружную систему, при которой снабжение и материально-технические функции возлагались на штаб округа, а оперативное командование сосредоточивалось в руках дивизионных командиров. Новая система заметно упрощала военное управление и устранялся существенный недостаток - крайняя централизация управления в министерстве.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этим указывалось на необходимость создания 15 военных округов: Финляндского, С - Петербургского, Балтийского (Рига), Северо-Западного (Вильно), Царства Польского, Юго-Западного (Киев), Южного (Одесса), Московского, Харьковского, Верхневолжского (Казань), Нижневолжского (Саратов), Кавказского (Тифлис), Оренбургского, Западно-Сибирского (Омск), Восточно-Сибирского (Иркутск).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главного окружного управления должна была включать в себя: Общее командование и штаб, Окружное интендантство, Артиллерийское управление, Инженерное управление и Врачебно-госпитальное управление.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летом 1862 г. вместо Первой армии были учреждены Варшавский, Киевский и Виленский военные округа а в конце 1862 г. - Одесский.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августе 1864 г. было утверждено «Положение о военных округах», на основании которого Командующему войсками округа подчинялись все расположенные в округе воинские части и военные учреждения, таким образом он становился единоличным начальником, а не инспектором, как это планировалось раньше (при этом все артиллерийские части в округе подчинялись непосредственно начальнику артиллерии округа). В пограничных округах на Командующего возлагались обязанности генерал-губернатора и в его лице сосредотачивалась вся военная и гражданская власть. Структура окружного управления осталась без изменений.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1864 г. было создано еще 6 военных округов: Петербургский, Московский, Финляндский, Рижский, Харьковский и Казанский. В последующие годы были образованы: Кавказский, Туркестанский, Оренбургский, Западно-Сибирский и Восточно-Сибирский военные округа.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организации военных округов создалась относительно стройная система местного военного управления, устранила крайнюю централизацию Военного министерства, функции которого теперь в осуществлении общего руководства и наблюдения. Военные округа обеспечивали быстрое развертывание армии в случае войны, при их наличии стало возможно приступить к составлению мобилизационного расписания</w:t>
      </w:r>
      <w:r>
        <w:rPr>
          <w:rStyle w:val="a8"/>
          <w:color w:val="000000"/>
          <w:sz w:val="24"/>
          <w:szCs w:val="24"/>
          <w:vertAlign w:val="baseline"/>
        </w:rPr>
        <w:footnoteReference w:id="8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4" w:name="_Toc50905173"/>
      <w:r>
        <w:rPr>
          <w:b/>
          <w:bCs/>
          <w:color w:val="000000"/>
        </w:rPr>
        <w:t>2.3. Реформирование в управлении войсками</w:t>
      </w:r>
      <w:bookmarkEnd w:id="4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реформой местного военного управления на протяжении 60-х годов происходила и реорганизация Военного министерства, которая назрела так как в Военном министерстве отсутствовало единство управления и одновременно с этим господствовала доведенная до абсурда централизация. На протяжении пяти лет - с 1862 по 1867 год происходила реорганизация Военного министерства.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1862 г. были созданы два главных управления: артиллерийское и инженерное. Эти главные управления по прежнему возглавлялись лицами императорской фамилии.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1863 г. была произведена реорганизация департамента генерального штаба. Он был объединен с военно-топографическим депо и Николаевской академией генерального штаба, с наименованием его главным управлением генерального штаба.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введением военно-окружной системы, в 1866 г. главное управление генерального штаба и инспекторский департамент были объединены в одно управление под названием Главный штаб. Он состоял из шести отделений, азиатской и судовой части, при Главном штабе находился военно-топографический отдел и Главному штабу была непосредственно подчинена Николаевская академия генерального штаба.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1868 г. преобразование Военного министерства было закончено, и с 1 января 1869 г. было введено Положение о Военном министерстве, согласно которого оно состояло из императорской Главной квартиры, военного совета, главного военного суда, канцелярии Военного министерства, Главного штаба и семи главных управлений (интендантское, артиллерийское, инженерное, военно-медицинское, военно-учебных заведений, военно-судовое, иррегулярных войск), а также управления генерал - инспектора кавалерии и инспектора стрелковых батальонов и комитета о раненых</w:t>
      </w:r>
      <w:r>
        <w:rPr>
          <w:rStyle w:val="a8"/>
          <w:color w:val="000000"/>
          <w:sz w:val="24"/>
          <w:szCs w:val="24"/>
          <w:vertAlign w:val="baseline"/>
        </w:rPr>
        <w:footnoteReference w:id="9"/>
      </w:r>
      <w:r>
        <w:rPr>
          <w:color w:val="000000"/>
          <w:sz w:val="24"/>
          <w:szCs w:val="24"/>
        </w:rPr>
        <w:t>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Права военного министра были значительно расширены. Он являлся главным начальником всех отраслей военно-сухопутного управления, однако по ряду вопросов, находившихся в ведении военного совета, руководил не единолично, а лишь как его председатель.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Военный совет также претерпел изменения. Как состав, так и его функции были расширены. Помимо решения законодательных и хозяйственных вопросов, военному совету подведомственно также и инспектирование войск. При нем состоял ряд комитетов: военно-кодификационный, по устройству и образованию войск, военно-учебный, военно-госпитальный и военно-тюремный.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Главному артиллерийскому управлению подчинялись непосредственно артиллерийская академия и училища. При нем состоял артиллерийский комитет, который ведал обсуждением вопросов, касающихся теории, техники и практики артиллерии и ручного оружия, новых изобретений в этой области и распространением научных знаний среди офицеров артиллерии. Начальник главного артиллерийского комитета подчинялся генерал-фельдцехмейстеру.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новому штату состав Военного министерства был уменьшен на 327 офицеров и 607 солдат. Значительно сократился и объем переписки. Как положительное можно отметить и тот факт, что военный министр сосредоточил в своих руках все нити военного управления, однако войска не находились в полном его подчинении, т.к. начальники военных округов зависели непосредственно от царя, который и возглавлял верховное командование вооруженными силами.</w:t>
      </w:r>
      <w:r>
        <w:rPr>
          <w:rStyle w:val="a8"/>
          <w:color w:val="000000"/>
          <w:sz w:val="24"/>
          <w:szCs w:val="24"/>
          <w:vertAlign w:val="baseline"/>
        </w:rPr>
        <w:footnoteReference w:id="10"/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этим организация центрального военного управления содержала в себе и ряд других слабых сторон: структура Главного штаба была построена таким образом, что функциям собственно генерального штаба отводилось немного места; подчинение главного военного суда и прокурора военному министру означало подчинение судебных органов представителю исполнительной власти; подчинение лечебных заведений не главному военно-медицинскому управлению, а начальникам местных войск, отрицательно влияло на постановку лечебного дела в армии.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5" w:name="_Toc50905174"/>
      <w:r>
        <w:rPr>
          <w:b/>
          <w:bCs/>
          <w:color w:val="000000"/>
        </w:rPr>
        <w:t>2.4. Правовое регулирование реформы</w:t>
      </w:r>
      <w:bookmarkEnd w:id="5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проведением военной реформы, в 1868 г. было разработано Положение о полевом управлении войск в военное время, согласно которому при ведении боевых действий, войска на образуют одну или несколько армий, во главе каждой стоит главнокомандующий, назначаемый и подчиняющийся царю. Военные округа на подчиняются главнокомандующего и снабжают армию</w:t>
      </w:r>
      <w:r>
        <w:rPr>
          <w:rStyle w:val="a8"/>
          <w:color w:val="000000"/>
          <w:sz w:val="24"/>
          <w:szCs w:val="24"/>
          <w:vertAlign w:val="baseline"/>
        </w:rPr>
        <w:footnoteReference w:id="11"/>
      </w:r>
      <w:r>
        <w:rPr>
          <w:color w:val="000000"/>
          <w:sz w:val="24"/>
          <w:szCs w:val="24"/>
        </w:rPr>
        <w:t xml:space="preserve">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Положения была значительно упрощена структура полевого управления армии, уточнены взаимоотношения главнокомандующего и военного министра. Однако имелся и целый ряд существенных недостатков: Возможное наличие нескольких главнокомандующих с одинаковыми правами; Не предусматривалось создание отдела военных сообщений.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«Устав строевой пехотной службы» был разработан в 1866 г. Общий характер этого устава определялся новыми тактическими принципами ведения боя: развитии огня пехоты в сочетании с действием холодным оружием, совершенствованием рассыпного строя, развитием гибкости построения рот и батальонов</w:t>
      </w:r>
      <w:r>
        <w:rPr>
          <w:rStyle w:val="a8"/>
          <w:color w:val="000000"/>
          <w:sz w:val="24"/>
          <w:szCs w:val="24"/>
          <w:vertAlign w:val="baseline"/>
        </w:rPr>
        <w:footnoteReference w:id="12"/>
      </w:r>
      <w:r>
        <w:rPr>
          <w:color w:val="000000"/>
          <w:sz w:val="24"/>
          <w:szCs w:val="24"/>
        </w:rPr>
        <w:t xml:space="preserve">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Строевые уставы пешей и конно-артиллерийской служб были изданы в 1859 г. В этих уставах по-прежнему большое внимание уделялось плац - парадным приемам. Тактической единицей являлось орудие. Командир батареи лишь определял дистанцию для первого выстрела, а далее наводчик самостоятельно вводил поправки. Этот принцип, оставшийся от гладкоствольной артиллерии, явно не соответствовал новым видам вооружений.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6" w:name="_Toc50905175"/>
      <w:r>
        <w:rPr>
          <w:b/>
          <w:bCs/>
          <w:color w:val="000000"/>
        </w:rPr>
        <w:t>Заключение</w:t>
      </w:r>
      <w:bookmarkEnd w:id="6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протяжении первых 8 лет Военному министерству удалось осуществить значительную часть намеченных реформ в области организации армии и управления войсками.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области организации армии была создана система, способная в случае войны увеличить численность войск, не прибегая к новым формированиям.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Уничтожение армейских корпусов и сохраненное деление пехотных батальонов на стрелковые и линейные роты имело отрицательное значение в смысле боевой подготовки войск.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Реорганизация Военного министерства обеспечила относительное единство военного управления.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проведения военно-окружной реформы были созданы местные органы управления, устранена излишняя централизация управления, обеспечивалось оперативное управление войсками и их мобилизация.</w:t>
      </w:r>
    </w:p>
    <w:p w:rsidR="00AF09A4" w:rsidRDefault="00AF09A4">
      <w:pPr>
        <w:widowControl w:val="0"/>
        <w:spacing w:before="120" w:line="240" w:lineRule="auto"/>
        <w:jc w:val="center"/>
        <w:rPr>
          <w:b/>
          <w:bCs/>
          <w:color w:val="000000"/>
        </w:rPr>
      </w:pPr>
      <w:bookmarkStart w:id="7" w:name="_Toc50905176"/>
      <w:r>
        <w:rPr>
          <w:b/>
          <w:bCs/>
          <w:color w:val="000000"/>
        </w:rPr>
        <w:t>Список литературы</w:t>
      </w:r>
      <w:bookmarkEnd w:id="7"/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А.Н. Сахаров. История России с начала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до конца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вв. М. АСТ. 1997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СССР с древнейших времён до конца XVIII века. Под ред. Б.А.Рыбакова. М., Изд-во Высшая школа, 1975.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Соловьёв С.М. Чтения и рассказы по истории России, М., Изд-во Правда, 1989.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Платонов С.Ф. Учебник русской истории для средней школы. Курс систематический, М., Изд-во Звено, 1994.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Сыров С.Н. Страницы истории, М., Изд-во Русский язык, 1983.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Титов Ю.П. История государства и права. Былина. М., 1997.</w:t>
      </w:r>
    </w:p>
    <w:p w:rsidR="00AF09A4" w:rsidRDefault="00AF09A4">
      <w:pPr>
        <w:widowControl w:val="0"/>
        <w:spacing w:before="120" w:line="240" w:lineRule="auto"/>
        <w:ind w:firstLine="567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Черменский Е.Д. Дискуссионные проблемы истории. М., «Наука», 1994.</w:t>
      </w:r>
    </w:p>
    <w:p w:rsidR="00AF09A4" w:rsidRDefault="00AF09A4">
      <w:pPr>
        <w:widowControl w:val="0"/>
        <w:spacing w:before="120" w:line="240" w:lineRule="auto"/>
        <w:ind w:firstLine="567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Исаев И.А. История государства и права России. Юристъ. М., 1996.</w:t>
      </w:r>
    </w:p>
    <w:p w:rsidR="00AF09A4" w:rsidRDefault="00AF09A4">
      <w:pPr>
        <w:widowControl w:val="0"/>
        <w:spacing w:before="120" w:line="240" w:lineRule="auto"/>
        <w:ind w:firstLine="567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Политическая история России и СССР (Вторая половина XIX-XX века): Курс лекций; Под общ. ред. доктора исторических наук, профессора Б.В. Леванова. М., 1991. </w:t>
      </w:r>
    </w:p>
    <w:p w:rsidR="00AF09A4" w:rsidRDefault="00AF09A4">
      <w:pPr>
        <w:widowControl w:val="0"/>
        <w:spacing w:before="120" w:line="240" w:lineRule="auto"/>
        <w:ind w:firstLine="567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Ключевский В.О. Русская история. Книга четвертая. «Мысль». М.,1995. С.10. 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Мунчаев Ш.М., Уститнов В.М. История России. ИНФРА.М – НОРМА. М., 1997.</w:t>
      </w:r>
    </w:p>
    <w:p w:rsidR="00AF09A4" w:rsidRDefault="00AF09A4">
      <w:pPr>
        <w:widowControl w:val="0"/>
        <w:spacing w:before="120" w:line="240" w:lineRule="auto"/>
        <w:ind w:firstLine="567"/>
        <w:rPr>
          <w:color w:val="000000"/>
          <w:sz w:val="24"/>
          <w:szCs w:val="24"/>
        </w:rPr>
      </w:pPr>
      <w:bookmarkStart w:id="8" w:name="_GoBack"/>
      <w:bookmarkEnd w:id="8"/>
    </w:p>
    <w:sectPr w:rsidR="00AF09A4">
      <w:pgSz w:w="11906" w:h="16838"/>
      <w:pgMar w:top="1134" w:right="1134" w:bottom="1134" w:left="1134" w:header="1440" w:footer="144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9A4" w:rsidRDefault="00AF09A4">
      <w:pPr>
        <w:spacing w:line="240" w:lineRule="auto"/>
      </w:pPr>
      <w:r>
        <w:separator/>
      </w:r>
    </w:p>
  </w:endnote>
  <w:endnote w:type="continuationSeparator" w:id="0">
    <w:p w:rsidR="00AF09A4" w:rsidRDefault="00AF0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9A4" w:rsidRDefault="00AF09A4">
      <w:pPr>
        <w:spacing w:line="240" w:lineRule="auto"/>
      </w:pPr>
      <w:r>
        <w:separator/>
      </w:r>
    </w:p>
  </w:footnote>
  <w:footnote w:type="continuationSeparator" w:id="0">
    <w:p w:rsidR="00AF09A4" w:rsidRDefault="00AF09A4">
      <w:pPr>
        <w:spacing w:line="240" w:lineRule="auto"/>
      </w:pPr>
      <w:r>
        <w:continuationSeparator/>
      </w:r>
    </w:p>
  </w:footnote>
  <w:footnote w:id="1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Мунчаев Ш.М., Уститнов В.М. История России. ИНФРА.М – НОРМА. М., 1997. С. 321.</w:t>
      </w:r>
    </w:p>
  </w:footnote>
  <w:footnote w:id="2">
    <w:p w:rsidR="00AF09A4" w:rsidRDefault="00AF09A4">
      <w:pPr>
        <w:spacing w:line="240" w:lineRule="auto"/>
        <w:rPr>
          <w:sz w:val="24"/>
          <w:szCs w:val="24"/>
        </w:rPr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История СССР с древнейших времён до конца XVIII века. Под ред. Б.А.Рыбакова. М., Изд-во Высшая школа, 1975. С. 241.</w:t>
      </w:r>
    </w:p>
    <w:p w:rsidR="00AF09A4" w:rsidRDefault="00AF09A4">
      <w:pPr>
        <w:spacing w:line="240" w:lineRule="auto"/>
      </w:pPr>
    </w:p>
  </w:footnote>
  <w:footnote w:id="3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Ключевский В.О. Русская история. Книга четвертая. «Мысль». М.,1995. С.328.</w:t>
      </w:r>
    </w:p>
  </w:footnote>
  <w:footnote w:id="4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Там же.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С. 330</w:t>
      </w:r>
    </w:p>
  </w:footnote>
  <w:footnote w:id="5">
    <w:p w:rsidR="00AF09A4" w:rsidRDefault="00AF09A4">
      <w:pPr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Соловьёв С.М. Чтения и рассказы по истории России, М., Изд-во Правда, 1989. С. 124.</w:t>
      </w:r>
    </w:p>
  </w:footnote>
  <w:footnote w:id="6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Ключевский В.О. Русская история. Книга четвертая. «Мысль». М.,1995. С. 350.</w:t>
      </w:r>
    </w:p>
  </w:footnote>
  <w:footnote w:id="7">
    <w:p w:rsidR="00AF09A4" w:rsidRDefault="00AF09A4">
      <w:pPr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Платонов С.Ф. Учебник русской истории для средней школы. Курс систематический, М., Изд-во Звено, 1994. С. 121.</w:t>
      </w:r>
    </w:p>
  </w:footnote>
  <w:footnote w:id="8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Черменский Е.Д. Дискуссионные проблемы истории. М., «Наука», 1994. С. 257.</w:t>
      </w:r>
    </w:p>
  </w:footnote>
  <w:footnote w:id="9">
    <w:p w:rsidR="00AF09A4" w:rsidRDefault="00AF09A4">
      <w:pPr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Сыров С.Н. Страницы истории, М., Изд-во Русский язык, 1983. С. 147.</w:t>
      </w:r>
    </w:p>
  </w:footnote>
  <w:footnote w:id="10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Политическая история России и СССР: Курс лекций; Под общ. ред. доктора исторических наук, профес</w:t>
      </w:r>
      <w:r>
        <w:rPr>
          <w:snapToGrid w:val="0"/>
          <w:sz w:val="24"/>
          <w:szCs w:val="24"/>
        </w:rPr>
        <w:softHyphen/>
        <w:t>сора Б.В. Леванова. М., 1991. С. 321.</w:t>
      </w:r>
    </w:p>
  </w:footnote>
  <w:footnote w:id="11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Исаев И.А. История  государства и права России. Юристъ. М., 1996. С. 411.</w:t>
      </w:r>
    </w:p>
  </w:footnote>
  <w:footnote w:id="12">
    <w:p w:rsidR="00AF09A4" w:rsidRDefault="00AF09A4">
      <w:pPr>
        <w:pStyle w:val="aa"/>
        <w:spacing w:line="240" w:lineRule="auto"/>
      </w:pPr>
      <w:r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Титов Ю.П. История государства и права. Былина. М., 1997. С. 288.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2702C"/>
    <w:multiLevelType w:val="hybridMultilevel"/>
    <w:tmpl w:val="2F8ED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D3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FBD26BD"/>
    <w:multiLevelType w:val="hybridMultilevel"/>
    <w:tmpl w:val="D20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57617"/>
    <w:multiLevelType w:val="singleLevel"/>
    <w:tmpl w:val="6284BA3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41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C46"/>
    <w:rsid w:val="003E1C46"/>
    <w:rsid w:val="007A4A5A"/>
    <w:rsid w:val="00990595"/>
    <w:rsid w:val="00A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1040C9-9910-4952-95A2-ABC15925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 w:line="240" w:lineRule="auto"/>
      <w:jc w:val="center"/>
      <w:outlineLvl w:val="0"/>
    </w:pPr>
    <w:rPr>
      <w:b/>
      <w:bCs/>
      <w:i/>
      <w:iCs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60" w:after="360" w:line="240" w:lineRule="auto"/>
      <w:jc w:val="left"/>
      <w:outlineLvl w:val="1"/>
    </w:pPr>
    <w:rPr>
      <w:rFonts w:ascii="Book Antiqua" w:hAnsi="Book Antiqua" w:cs="Book Antiqua"/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851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  <w:pPr>
      <w:spacing w:before="240" w:after="120"/>
      <w:jc w:val="left"/>
    </w:pPr>
  </w:style>
  <w:style w:type="paragraph" w:styleId="23">
    <w:name w:val="toc 2"/>
    <w:basedOn w:val="a"/>
    <w:next w:val="a"/>
    <w:autoRedefine/>
    <w:uiPriority w:val="99"/>
    <w:pPr>
      <w:spacing w:before="120"/>
      <w:ind w:left="280"/>
      <w:jc w:val="left"/>
    </w:pPr>
    <w:rPr>
      <w:rFonts w:ascii="Courier New" w:hAnsi="Courier New" w:cs="Courier New"/>
      <w:sz w:val="26"/>
      <w:szCs w:val="26"/>
    </w:rPr>
  </w:style>
  <w:style w:type="character" w:styleId="a5">
    <w:name w:val="page number"/>
    <w:uiPriority w:val="99"/>
    <w:rPr>
      <w:rFonts w:ascii="Bookman Old Style" w:hAnsi="Bookman Old Style" w:cs="Bookman Old Style"/>
      <w:sz w:val="20"/>
      <w:szCs w:val="20"/>
      <w:vertAlign w:val="baseline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footnote reference"/>
    <w:uiPriority w:val="99"/>
    <w:rPr>
      <w:vertAlign w:val="superscript"/>
    </w:rPr>
  </w:style>
  <w:style w:type="paragraph" w:customStyle="1" w:styleId="a9">
    <w:name w:val="Сноска"/>
    <w:basedOn w:val="aa"/>
    <w:uiPriority w:val="99"/>
    <w:pPr>
      <w:spacing w:line="240" w:lineRule="auto"/>
      <w:jc w:val="left"/>
    </w:pPr>
  </w:style>
  <w:style w:type="paragraph" w:styleId="aa">
    <w:name w:val="footnote text"/>
    <w:basedOn w:val="a"/>
    <w:link w:val="ab"/>
    <w:uiPriority w:val="9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toc 3"/>
    <w:basedOn w:val="a"/>
    <w:next w:val="a"/>
    <w:uiPriority w:val="99"/>
    <w:pPr>
      <w:ind w:left="560"/>
    </w:pPr>
    <w:rPr>
      <w:i/>
      <w:iCs/>
      <w:sz w:val="24"/>
      <w:szCs w:val="24"/>
    </w:rPr>
  </w:style>
  <w:style w:type="paragraph" w:styleId="4">
    <w:name w:val="toc 4"/>
    <w:basedOn w:val="a"/>
    <w:next w:val="a"/>
    <w:autoRedefine/>
    <w:uiPriority w:val="99"/>
    <w:pPr>
      <w:ind w:left="840"/>
    </w:pPr>
  </w:style>
  <w:style w:type="paragraph" w:styleId="5">
    <w:name w:val="toc 5"/>
    <w:basedOn w:val="a"/>
    <w:next w:val="a"/>
    <w:autoRedefine/>
    <w:uiPriority w:val="99"/>
    <w:pPr>
      <w:ind w:left="1120"/>
    </w:pPr>
  </w:style>
  <w:style w:type="paragraph" w:styleId="6">
    <w:name w:val="toc 6"/>
    <w:basedOn w:val="a"/>
    <w:next w:val="a"/>
    <w:autoRedefine/>
    <w:uiPriority w:val="99"/>
    <w:pPr>
      <w:ind w:left="1400"/>
    </w:pPr>
  </w:style>
  <w:style w:type="paragraph" w:styleId="7">
    <w:name w:val="toc 7"/>
    <w:basedOn w:val="a"/>
    <w:next w:val="a"/>
    <w:autoRedefine/>
    <w:uiPriority w:val="99"/>
    <w:pPr>
      <w:ind w:left="1680"/>
    </w:pPr>
  </w:style>
  <w:style w:type="paragraph" w:styleId="8">
    <w:name w:val="toc 8"/>
    <w:basedOn w:val="a"/>
    <w:next w:val="a"/>
    <w:autoRedefine/>
    <w:uiPriority w:val="99"/>
    <w:pPr>
      <w:ind w:left="1960"/>
    </w:pPr>
  </w:style>
  <w:style w:type="paragraph" w:styleId="9">
    <w:name w:val="toc 9"/>
    <w:basedOn w:val="a"/>
    <w:next w:val="a"/>
    <w:autoRedefine/>
    <w:uiPriority w:val="99"/>
    <w:pPr>
      <w:ind w:left="2240"/>
    </w:p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11864</Words>
  <Characters>6764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Военные реформы 1861-1874 гг</vt:lpstr>
    </vt:vector>
  </TitlesOfParts>
  <Company>Предприниматель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Военные реформы 1861-1874 гг</dc:title>
  <dc:subject/>
  <dc:creator>Zhukov_Denis</dc:creator>
  <cp:keywords/>
  <dc:description/>
  <cp:lastModifiedBy>admin</cp:lastModifiedBy>
  <cp:revision>2</cp:revision>
  <cp:lastPrinted>2003-09-09T19:12:00Z</cp:lastPrinted>
  <dcterms:created xsi:type="dcterms:W3CDTF">2014-01-26T14:56:00Z</dcterms:created>
  <dcterms:modified xsi:type="dcterms:W3CDTF">2014-01-26T14:56:00Z</dcterms:modified>
</cp:coreProperties>
</file>