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56" w:rsidRDefault="00E073F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Вооружение сторон перед началом русско-японской войны</w:t>
      </w:r>
    </w:p>
    <w:p w:rsidR="00976D56" w:rsidRDefault="00E073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Вооруженные силы России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русско-турецкой войны вооруженные силы России значительно увеличились (на 45% по отношению к 1876 г.). К 1900 году они насчитывали более 1 миллиона человек (1 миллион 80 тысяч, в том числе 60 тысяч казаков). Намного возросло по сравнению с 1877 годом численность подготовленных военнослужащих запаса; она приближалась к 3 миллионам человек.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войны русских войск на Дальнем востоке числилось около 100 тысяч человек, в том числе в регулярных войсках: офицеров-2 тысячи 985 и нижних чинов-89 тысяч 470, в казачьих войсках: офицеров-264 и нижних чинов-5 тысяч 116. Войска Приамурского округа были сведены в 1-й и 2-й Сибирские корпуса.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русской армии высшим войсковым соединением был корпус, состоявший из 2-3 пехотных и 1 кавалерийской дивизий. Пехотная дивизия составлялась из 2 бригад, по 2 полка в каждой; полки - из 4 батальонов; в дивизии имелась артиллерийская бригада из 6 - 8 батарей (батарея-8 орудий). Организация дальневосточных войск не была однотипной. Полки были двухбатальонного и трехбатальонного состава, батальоны имели по 4 роты. По штату двухбатальонный полк насчитывал 2 тысячи 100 человек, а трехбатальонный-3 тысячи 100 неловок. При 3-й Восточносибирской стрелковой бригаде была создана опытная пулеметная рота, штат ее составляли 5 офицеров, 98 нижних чинов, 37 лошадей: в роте имелось 8 пулеметов, перевозимых лошадьми. Дальневосточные войска были разбросаны, и для сосредоточения их при имевшемся железнодорожном сообщении требовалось немало времени.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вооружении пехоты и кавалерии находилась магазинная пятизарядная 3-линейная (7,62-мм) винтовка образца 1891 года с прицельной, дальностью 2 тысячи 700 шагов (1920 м). Сибирские казачьи войска имели на вооружении пики. Полевая артиллерия была представлена как новыми скорострельными 3-дюймовъши (76-мм) пушками образца 1900-1902 годов (пушка образца 1902 года давала 10 выстрелов в минуту, дальность огня - до 8 км), так и старыми, в том числе 6-дюймовыми мортирами, представлявшими тяжелую артиллерию. Мортиры, ведущие навесной огонь, имели незначительную дальность (3 км), скорострельность и меткость (вследствие весьма большого рассеивания). В начале войны имелось всего 16 орудий горной артиллерии к концу войны - 72. Пехотные дивизии, как русские, так и японские, насчитывали от 32 до 48 орудий. Усиливались русские пехотные дивизии мортирам стрелявшими фугасной гранатой и шрапнелью. Русские артиллеристы, были обучены вести стрельбу с закрытых позиций, хотя перешли к ней не сразу.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Вновь созданного автоматического оружия - станковых пулеметов - русская армия имела незначительное количество: в 1898 году - 12, в 1901 году -40 пулеметов системы Максима. ( Три пулемета Максима были подвергнуты испытанию в Петербурге в 1887 году, но не дали положительных результатов. Лишь , после переделки стволов под трехлинейный патрон и переделки конструкции замка станковые пулеметы были приняты на вооружение крепостей (1895 г.), а в 1901 году введены на вооружение полевых войск.).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русско-японской войне для ведения воздушной разведки применились привязные сферические и змейковые аэростаты. Связь аэростата с землей осуществлялись сигналами при помощи специальных приспособлений. В тех случаях, когда нельзя было пользоваться обычными видами связи, русское командование применяло полевые переносные радиостанции, которыми с 1900 года оснащались сухопутные войска. Эти радиостанции были созданы русским ученым А.С. Поповым при участии П. Н. Рыбкина и капитана Д.С. Троицкого.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Боевая подготовка русских войск отставала от современных требований. Большая доля вины в этом падает на официальную русскую военную теоретическую мысль и ее крупнейших представителей - Г.А. Леера и М.И. Драгомирова, недооценивавших возросшую мощь огня скорострельного и автоматического (пулемета) оружия и тяготевших к старой ударной тактике.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Незадолго до войны были изданы: "Устав строевой пехотной службы (1900 г.)", "Наставление для действия, пехоты в бою", "Особые указания для движения и боя ночью", "Наставление для обучения стрельбе из ружья-пулемета образца 1902 года". "Устав полевой службы" и "Наставление для действия в бою отрядов из всех родов оружия (1904 г.)". Эти уставы и наставления учитывали опыт последних войн - русско-турецкой и в какой-то степени испано-американской и англо-бурской, а также перевооружение пехоты винтовкой образца 1891 года, а позже и артиллерии - скорострельной полевой пушкой. Они являлись, безусловно шагом вперед, хотя в то же время имели и существенные недостатки, которые еще более усугублялись консерватизмом, высших начальников.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"Наставлению для действия в бою отрядов из всех родов оружия (1904 г.)" наступательный бой состоял из наступления, заключавшегося в сближении с противником на возможно близкое расстояние, и в атаке-нанесении штыкового удара сомкнутыми силами. Наступление предусматривалось вести стремительно и безостановочно до дистанции действительного ружейного огня (до 1 км); с этого расстояния стрелковые цепи наступают с перебежками, остановками на позициях, удобных для стрельбы. Применению к местности и самоокапыванию не уделялось должного внимания, особенно использованию лопаты при наступлении.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Наступление основывалось главным образом на ружейном огне. Усилия артиллерии направлялись не на артиллерийскую подготовку наступления, а на подавление неприятельской артиллерии и двигавшейся в сомкнутых строях пехоты противника. Ружейный огонь против зарывавшихся в землю японцев естественно не мог быть достаточно эффективен. Традиционная у начальства любовь к штыку мешала правильному ведению огня. Бросок в атаку не подготавливался в нужной мере огнем артиллерии. Склонность наступать в густых строях в зоне огня противника и преждевременный бросок в атаку, а в обороне - в контратаку, вели к неоправданным потерям. Индивидуальный огонь тактически не использовался полностью и порой применялся в несоответствии с боевой обстановкой, сложившейся в условиях применения скорострельного и автоматического оружия (пулеметов).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Боевой порядок как в наступлении, так и в обороне состоял из боевой части, предназначавшейся для ведения огневого боя и подготовки штыкового удара, и резерва, предназначавшегося для нанесения решительного штыкового удара, поддержки боевой части и отражения непредвиденных действий противника. Боевая часть обычно делилась на 2 боевых участка (правый и левый), последние в свою очередь делились на боевую часть и резерв.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Корпус примерно одну дивизию выделял в боевую часть, другую - в резерв. Дивизии, части и подразделения также строились в боевую часть и резерв. Батальон выделял две роты в боевую часть и две роты в резерв. Рота часть взводов высылала в цепь, тогда как другие ее взводы оставлялись для поддержки. Соотношение между боевой частью и резервом зависели от остановки, резерв мог быть сильнее или слабее боевой части.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Войска по занимаемому фронту распределялись неравномерно, на направлении главного удара сосредоточивались большие силы, в связи с чем на одних боевых участках (на которые делилась боевая часть) войск было больше, на других - меньше. Войска, составлявшие боевую часть, наступали цепями, причем весьма густыми, с интервалом в полтора-два шага, а выделенные в резерв - сомкнутыми строями. При начале боя боевая часть соединения, части или подразделения имела меньше сил, чем резерв, с развертыванием же боя резерв все время подкреплял боевую часть и ко времени решительного удара он имел меньше сил, сокращаясь до одной четверти, а боевая часть увеличивалась до трех четвертей сил.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Ширина фронта боевого порядка для корпуса устанавливалась в 3 км, дивизии-2 км, бригады-1 км, полка-700м (1 тысяча шагов) и батальона - 280 м (400 шагов).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"Наставлению для действия в бою отрядов из всех родов оружия" наступление и оборона велись следующим образом. С вступлением в сферу действия артиллерийского огня противника (2,5-3 км) пехотные части, прикрываемые артиллерийским огнем, развертывались в боевой порядок и по приказу начальников участков наступали безостановочно до дистанции действительного ружейного огня (до 1 км), до первой стрелковой позиции.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Причем в ходе наступления по мере усиления огня взводом боевой части разрешалось рассыпаться в цепь, ротные же резервы (поддержки ) продвигались в сомкнутых строях, что приводило к излишним потерям. Артиллерия, так же не задерживаясь на дальних дистанциях, занимала позиции на дистанциях верного артиллерийского огня (около 2 км). Дальнейшее наступление пехоты продолжалось перебежками цепей от одной позиции к другой. Артиллерия в этот период боя имела цель сбить артиллерию неприятеля: пехота вела огонь по неприятельской пехоте и артиллерии. Когда определялся пункт атаки, артиллерия сосредотачивала свой огонь по войскам противника, находящимся на этом пункте, и по тем войскам, которые обстреливали подступы к нему.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достижении последней стрелковой позиции (в 300 - 400 шагах) передовые части пехоты выжидали подхода резервов, развивая в то же время огонь в полной мере, затем по приказу бросались в общую атаку, нанося "удары без перерыва, чтобы не дать неприятелю опомниться резервы же вслед за передовой линией батальонов атаковали так, чтобы вышла "набегающая волна". С последней стрелковой позиции пехота должна была идти в атаку безостановочно, стремительно: сомкнутым частям предписывалось для стрельбы отнюдь не останавливаться. Артиллерия в это время с близких дистанций поддерживала своим огнем пехоту, направляя его на резервы противника. Конница содействовала атаке пехоты с фронта и, особенно, во фланг неприятелю.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же позиция противника была сильно укреплена, то и наступающему при атаке такой позиции днем разрешилось прибегать к помощи укреплений (траншей, опорных пунктов).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Оборонительный бой, говорится в "Наставлении для действия в бою отрядов из всех родов оружия", так же, как и наступательный, имеет целью разбить противника, поэтому всякая оборона только тогда действительна, когда завершается контратакой и в случае поражения противника, настойчивым преследованием его. Огонь в обороне призван остановить атакующего неприятеля, а штык - отбросить его. На занятых оборонительных позициях отрывались окопы и устраивались изжившие себя в полевых сражениях редуты и люнеты. Впереди позиции создавались передовые пункты и разные препятствия в виде проволоки (гладкой), рвов, засек, волчьих ям и др. Наставление требовало помимо устройства "искусственных закрытий" принимать меры к возможно лучшему маскированию войск и укреплений. Боевой порядок в обороне - густая стреляющая цепь, боевые участки и резервы.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Целый раздел "Наставления" отведен боевым действиям ночью, которые обеспечивают внезапность нападения, лишают противника возможности судить, о наших силах, способствуют подходу к неприятелю без потерь, от огня, позволяют делать большие дела с малыми силами.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самого начала войны военный министр А.Н. Куропаткин неоднократно требовал от войск не двигаться вблизи противника в густых строях, не развертываться "в слишком близком от противника расстояние", а также "дать большее развитие ночным действиям".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всегда особую ударную силу русской армии составляли казачьи части. Ниже приведен список казачьих частей принимавших участие в войне (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по книге: 'Казачьи Войска. Хроника'' Под редакцией В. К. Шенк. Составил В. Х. Казин. По 1-е апреля 1912 года. Справочная книжка Императорской Главной Квартиры. </w:t>
      </w:r>
      <w:r>
        <w:rPr>
          <w:color w:val="000000"/>
          <w:sz w:val="24"/>
          <w:szCs w:val="24"/>
        </w:rPr>
        <w:t>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1-й Верхнеудинский полк Забайкальского казачьего войска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1-й Читинский полк Забайкальского казачьего войска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1-й Нерчинский полк Забайкальского казачьего войска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1-й Аргунский полк Забайкальского казачьего войска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1-я Забайкальская казачья ЕГО ИМПЕРАТОРСКОГО ВЕЛИЧЕСТВА Наследника Цесаревича батарея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2-я Забайкальская казачья батарея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Амурский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Уссурийский казачий полк (преобразован 30 марта 1904 года из одноименного дивизиона по случаю войны)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4-й Сибирский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5-й Сибирский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7-й Сибирский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8-й Сибирский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1-й Оренбургский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14) 9-й Оренбургский казачий полк 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15) 10-й Оренбургский казачий полк 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16) 11-й Оренбургский казачий полк 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17) 12-й Оренбургский казачий полк 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4 полка призваны со льготы 10 мая 1904 года и составили Оренбургскую казачью дивизию в войне.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18) 4-й Уральский казачий полк (в составе Урало-Забайкальской казачей дивизии)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19) 5-й Уральский казачий полк (в составе Урало-Забайкальской казачей дивизии)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20) 1-й Сунженско-Владикавказский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21) 1-й Кизляро-Гребенский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22) 1-й Екатеринодарский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23) 1-й Уманский казачий полк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24) 6 (шесть) пластунских батальонов второй очереди Кубанского казачьего войска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25) 1-я батарея Кубанского казачьего войска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26) 19-й Донской казачий полк (в составе 4-й Донской казачьей дивизии)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27) 24-й Донской казачий полк (в составе 4-й Донской казачьей дивизии)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28) 25-й Донской казачий полк (в составе 4-й Донской казачьей дивизии)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29) 26-й Донской казачий полк (в составе 4-й Донской казачьей дивизии)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30) 2-я Донская казачья батарея (в составе 3-го Донского казачьего артиллерийского дивизиона)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31) 3-я Донская казачья батарея (в составе 3-го Донского казачьего артиллерийского дивизиона)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января 1904 года (по старому стилю) по случаю войны 2-й Верхнеудинский, 2-й Читинский, 2-й Нерчинский, 2-й Аргунский казачьи полки и 3-я и 4-я казачьи батареи сведены в Забайкальскую казачью дивизию.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военно-морских сил, то ко времени русско-японской войны основными классами судов флота являлись: эскадренные броненосцы, бронированные и легкие крейсеры и миноносцы. Были суда специального и вспомогательного назначения: броненосцы береговой обороны (тихоходные и небольшого водоизмещения), минные заградители, канонерские лодки (малые суда с небольшим ходом и средней артиллерией), суда посыльные, транспортные. Эскадренные броненосцы, броненосные крейсеры и миноносцы постройки второй половины 90-х годов и 1900-1903 годов имели следующие показатели: броненосцы - водоизмещение до 13 тысяч 800 т (русские) и до 14 тысяч 800 т (японские), скорость хода до 18 узлов; броненосные крейсеры постройки 90-х годов - водоизмещение от 7 тысяч 700 до 13 тысяч 800 т, скорость хода 18-21 узлов; легкие крейсеры постройки 1896-1903 годов - водоизмещение от 2 тысяч 400 до 6 тысяч 700 т, скорость хода 19-25 узлов; легкие миноносцы, имеющие небольшое водоизмещение (до 180 т) развивали скорость до 24-26 узлов, а истребители-26-27 узлов (русские) и до 29-30 узлов (японские).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Подводные лодки, принимавшие участие в русско-японской войне, были весьма несовершенны. США и Англия строили подводные лодки типа "Голланд". Наибольшее развитие подводное плавание получило во Франции.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Вооружение подводных лодок Франции, Англии и США состояло из одного или двух торпедных аппаратов; длина лодок - от 19,3 до 30,2 м: ширина - от 2,26 до 3,9 м; число команды - от 7 до 12 человек.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подводная лодка "Дельфин" (первая современная) была построена в 1902-1903 годах на Балтийском судостроительном заводе в Петербурге. Проект лодки разработал инженер И.Г. Бубнов (водоизмещение надводное-115 т, подводное-150 т; скорость хода надводная-6,5 узла, подводная-6 узлов; вооружение-4 торпедных аппарата). "Дельфин" оснащался бензиновым двигателем, по проекту инженера Луцкого, электромотором и аккумуляторами, изготовленными за границей.</w:t>
      </w:r>
    </w:p>
    <w:tbl>
      <w:tblPr>
        <w:tblW w:w="5675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1"/>
        <w:gridCol w:w="658"/>
      </w:tblGrid>
      <w:tr w:rsidR="00976D56">
        <w:trPr>
          <w:tblCellSpacing w:w="0" w:type="dxa"/>
        </w:trPr>
        <w:tc>
          <w:tcPr>
            <w:tcW w:w="49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D56" w:rsidRDefault="00E073F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1. Подводные лодки Франции, Англии, США</w:t>
            </w:r>
          </w:p>
          <w:tbl>
            <w:tblPr>
              <w:tblW w:w="1084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23"/>
              <w:gridCol w:w="1305"/>
              <w:gridCol w:w="1178"/>
              <w:gridCol w:w="1172"/>
              <w:gridCol w:w="1185"/>
              <w:gridCol w:w="1162"/>
              <w:gridCol w:w="1176"/>
              <w:gridCol w:w="1280"/>
              <w:gridCol w:w="1364"/>
            </w:tblGrid>
            <w:tr w:rsidR="00976D56">
              <w:trPr>
                <w:tblCellSpacing w:w="7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Количество подводных лодок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Год постройки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Водоизмещение, т.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Скорость хода, узл.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Дальность плавания, мили</w:t>
                  </w:r>
                </w:p>
              </w:tc>
            </w:tr>
            <w:tr w:rsidR="00976D56">
              <w:trPr>
                <w:tblCellSpacing w:w="7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надводное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подводное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надводная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подводная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надводная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подводная</w:t>
                  </w:r>
                </w:p>
              </w:tc>
            </w:tr>
            <w:tr w:rsidR="00976D56">
              <w:trPr>
                <w:tblCellSpacing w:w="7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Франция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1903-1904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 при 8 узл.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976D56">
              <w:trPr>
                <w:tblCellSpacing w:w="7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1901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976D56">
              <w:trPr>
                <w:tblCellSpacing w:w="7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Англия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1902-1903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 при 12 узл.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976D56">
              <w:trPr>
                <w:tblCellSpacing w:w="7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1901-1902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400 при 8 узл.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 при 7 узл. 50 при 4 узл.</w:t>
                  </w:r>
                </w:p>
              </w:tc>
            </w:tr>
            <w:tr w:rsidR="00976D56">
              <w:trPr>
                <w:tblCellSpacing w:w="7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США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1901-1903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8,9-9,3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7,1-7,3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400 при 9 узл.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6D56" w:rsidRDefault="00E073F3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 при 7 узл.</w:t>
                  </w:r>
                </w:p>
              </w:tc>
            </w:tr>
          </w:tbl>
          <w:p w:rsidR="00976D56" w:rsidRDefault="00976D56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D56" w:rsidRDefault="00976D56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6D56">
        <w:trPr>
          <w:tblCellSpacing w:w="0" w:type="dxa"/>
        </w:trPr>
        <w:tc>
          <w:tcPr>
            <w:tcW w:w="49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D56" w:rsidRDefault="00976D56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D56" w:rsidRDefault="00E073F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</w:tr>
    </w:tbl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русском флоте до начала русско-японской войны "Дельфин" была единственной подводной лодкой. В январе 1904 года, перед самым началом войны, Балтийскому судостроительному заводу был дан заказ на постройку лодки "Касатка" (улучшенный тип лодки Бубнова), а в феврале и марте - на 5 подводных лодок. В это же время Невский судостроительный завод получил заказ на постройку 5 подводных лодок типа "Голланд". Балтийским заводом в течение девяти месяцев были построены 6 подводных лодок (первая лодка "Дельфин" строилась в течение 2 лет). Невский судостроительный завод, не имевший опыта, первую из 5 подводных лодок строил в течение года. Несколько лодок было заказано в США и 3 лодки - акционерному обществу Круппа (Германия) в Киле; до этого им была построена всего одна лодка "Форель" (передана России). </w:t>
      </w:r>
      <w:r>
        <w:t>Договор предусматривал: наибольшую скорость хода-12 узлов, дальность плавания (при этой скорости хода)-1100 миль, наибольшую подводную скорость хода-9 узлов и дальность плавания (при этой скорости)-27 миль, глубину погружения-30 м. Заказанные 3 подводные лодки были построены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лишь в 1907 году (См. Э. Келле. Подводные лодки в России в 1904-1905 гг., с. 13. 14.)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июле 1904 года, на шестом месяце войны, русский флот имел 4 подводные лодки. Двадцать подводных лодок были заказаны и строились (из них на русских заводах-12 и за границей-8).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Отправка подводных лодок на Дальний Восток (во Владивосток) началась осенью 1904 года. К концу русско-японской войны там было 13 подводных лодок.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Япония не строила подводных лодок. Во время войны ею было заказано в США 5 лодок типа "Голланд". Однако опасность подводного нападения со стороны японцев все же существовала.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i w:val="0"/>
          <w:iCs w:val="0"/>
          <w:color w:val="000000"/>
          <w:sz w:val="24"/>
          <w:szCs w:val="24"/>
        </w:rPr>
        <w:t>"29 февраля в час дня, - сообщал адмирал С.О. Макаров, - меня уведомили, что с поста у деревни Булянцзя близ кумирни в 10 часов утра того же дня видели подводную лодку..." (См. С. О. Макаров. Документы. - М., 1960. Т. II. С. 595.) Участник обороны Порт-Артура генерал М.И. Костенко, говоря о гибели адмирала Макарова на броненосце "Петропавловск", замечает, что "в порту я встречал многих из моряков, которые, безусловно, верили, что "Петропавловск" погиб от японской подводной лодки. Мнение это производило на многих удручающее впечатление..." (См. М.И. Костенко. Осада и сдача крепости Порт-Артур.-Киев. 1907. С. 59.)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Русские военно-морские силы на Дальнем Востоке уступали Японии по численности основных классов кораблей, по их тактико-техническим свойствам, по скорострельности и дальнобойности орудий. Русские корабли отличались от японских разнотипностью. Например, линейные корабли (7 эскадренных броненосцев) принадлежали к 4 типам, что отрицательно сказывалось на ведении боя, поскольку однотипность классов кораблей позволяла иметь более стройные тактические организмы. Русские корабли уступали японским по скорости хода и по бронированию, площадь бронированного борта у русских эскадренных броненосцев сравнительно с японскими была значительно меньше. Военно-морские базы Порт-Артур и Владивосток не были подготовлены к началу войны; их ремонтные возможности были весьма ограничены.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2. Соотношение военно-морских флотов на Дальнем Востоке к началу русско-японской войны </w:t>
      </w:r>
    </w:p>
    <w:tbl>
      <w:tblPr>
        <w:tblW w:w="5310" w:type="dxa"/>
        <w:tblCellSpacing w:w="7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1"/>
        <w:gridCol w:w="1012"/>
        <w:gridCol w:w="1177"/>
      </w:tblGrid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Классы кораблей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Россия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Япония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Эскадренные броненосцы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7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6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Броненосные крейсеры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4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8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Легкие крейсеры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7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12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Канонерские лодки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7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14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Эскадренные миноносцы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28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Малые миноносцы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19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Миноносные крейсеры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-</w:t>
            </w:r>
          </w:p>
        </w:tc>
      </w:tr>
      <w:tr w:rsidR="00976D56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Минные заградители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-</w:t>
            </w:r>
          </w:p>
        </w:tc>
      </w:tr>
    </w:tbl>
    <w:p w:rsidR="00976D56" w:rsidRDefault="00E073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Вооруженные силы Японии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Японская армия по своему положению в государстве резко выделялась, считалась превыше всего. На строительство японской армии и разработку военного искусства большое влияние оказывала немецкая военная система. Японцы подражали ей. Прибывший в Японию в 1884 году профессор Берлинской военной академии К. Меккель был возведен в степень первого учителя "большой войны". Меккель участвовал в реорганизации японской армии, составлял для нее уставы и инструкции и считается основателем военной академии в Токио. Главнокомандующий японскими войсками в русско-японской войне маршал И. Ояма принимал участие в разработке немецкой военной доктрины: во время франко-прусской войны 1870-1871 годов он был военным агентом в прусской армии.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3. Состав частей и подразделений японской пехотной дивизии. </w:t>
      </w:r>
    </w:p>
    <w:tbl>
      <w:tblPr>
        <w:tblW w:w="6570" w:type="dxa"/>
        <w:tblCellSpacing w:w="7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3"/>
        <w:gridCol w:w="1447"/>
        <w:gridCol w:w="1910"/>
      </w:tblGrid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Название подразделения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Офицеров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Нижних чинов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Пехотный полк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87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2818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Пехотный батальон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927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Пехотная рота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221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Кавалерийский полк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534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Кавалерийский эскадрон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174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Артиллерийский полк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42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660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Артиллерийский дивизион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215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Артиллерийская батарея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106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Инженерный батальон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21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554</w:t>
            </w:r>
          </w:p>
        </w:tc>
      </w:tr>
      <w:tr w:rsidR="00976D56">
        <w:trPr>
          <w:tblCellSpacing w:w="7" w:type="dxa"/>
        </w:trPr>
        <w:tc>
          <w:tcPr>
            <w:tcW w:w="2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Инженерная рота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181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6D56" w:rsidRDefault="00E073F3">
            <w:pPr>
              <w:pStyle w:val="a6"/>
              <w:widowControl w:val="0"/>
              <w:spacing w:before="0" w:after="0"/>
              <w:ind w:firstLine="0"/>
              <w:jc w:val="both"/>
            </w:pPr>
            <w:r>
              <w:t>181</w:t>
            </w:r>
          </w:p>
        </w:tc>
      </w:tr>
    </w:tbl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Всеобщая воинская повинность, установленная в Японии в 1873 году, распространялась на мужчин в возрасте от 17 до 40 лет. Срок действительной службы определялся в 3 года, в запасе-4 года и 4 месяца и в территориальной армии (резерв)-5 лет, а всего 12 лет и 4 месяца. Лица, не попавшие на действительную службу, зачислялись в рекрутский резерв. Систему комплектования войск Японии называют общей воинской и территориальной системой. Вся страна разделялась на 12 дивизионных округов, дивизионный округ - на 2 бригадных округа, по 2 полковых участка в каждом.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мирное время постоянная армия Японии была сравнительно небольшой-150 тысяч человек </w:t>
      </w:r>
      <w:r>
        <w:rPr>
          <w:rStyle w:val="a5"/>
          <w:i w:val="0"/>
          <w:iCs w:val="0"/>
          <w:color w:val="000000"/>
          <w:sz w:val="24"/>
          <w:szCs w:val="24"/>
        </w:rPr>
        <w:t>( Численность населения Японии перед войной-46 миллионов человек, России-140 миллионов человек.)</w:t>
      </w:r>
      <w:r>
        <w:rPr>
          <w:color w:val="000000"/>
          <w:sz w:val="24"/>
          <w:szCs w:val="24"/>
        </w:rPr>
        <w:t>, в военное время, по окончании общей мобилизации, увеличивалась до 360 тысяч человек. Во время русско-японской войны Япония призвала 1,5 миллиона человек.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мирное время японская армия организационно подразделялась на дивизии. Дивизия состояла из 2 бригад, двухполкового состава (12 батальонов) каждая, кавалерийского полка трехэскадронного состава; артиллерийского палка, состоявшего из 2 отделений (дивизионов), трехбатарейного состава каждое (всего 36 орудий), и 2 батальонов - саперного и обозного. В военное время из 2-3 дивизий и 1, 2 или 3 бригад создавались армии.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Вооружение японской армии отвечало современным требованиям. Вся пехота к 1902 году имела скорострельное магазинное (на 5 патронов) ружье образца 1897 года, с прицелом до 2 тысяч метров и штыком-кинжалом, который примыкался к ружью только при атаке. Конница была вооружена магазинными карабинами образца 1897 года и саблями. Пулеметов в японской армии было мало, они проходили испытание в частях 2 дивизий. Перевооружение артиллерии в общем завершилось к концу 1902 года; скорострельных пушек системы Арисака насчитывалось (к концу 1903 г.): горных-410 и полевых - 670. Полевые пушки перевозились 6 лошадьми, стрельба велась бездымным порохом японского изготовления. Лопата и особая кирка являлась составной частью снаряжения пехотинца. Мундир японской армии был прусского образца, кепи и гамаши - французского. Японская военная промышленность с наступлением нового, XX века еще только развертывалась. Вооружение японской армии во многом походило на западноевропейское, часть артиллерии и пулеметы доставлялась из-за границы.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Боевая подготовка войск проводилась в наступательном духе. В ведении наступательных военных действий японцы стремились к охватам противника. Создавать более широкий оперативный фронт и действовать по внешним операционным линиям с целью окружения противника-все время угрожать ему обходами и охватами, добиваясь победы на флангах - таковы оперативно-стратегические взгляды японского командования, культивируемые немецкими инструкторами и наставниками. В ходе войны японцы, добиваясь развязки на флангах, действовали схематично, с крайней осторожностью, неуверенно и с оглядкой. Над военным командованием довлело слепое подражание Седанской операции, проведенной немцами во время франко-прусской войны.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тактическом искусстве японцы также стремились к обходам и охватам, к быстрому маневрированию. Японское командование признавало возросшую мощь огня и необходимость разреженных строев. Однако в начале войны оно не избежало ввода в бой пехоты в густых боевых порядках. С приобретением опыта происходили изменения в тактике, которые касались разрежения строев, усиления огня при ведении атаки и самоокапывания. Атака стала производиться только после огневой подготовки. Пехота также обучалась самоокапыванию. Лопата и кирка японским пехотинцем использовались и в обороне, и в наступлении. Хорошо была поставлена одиночная подготовка.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Слабая японская кавалерия, сближаясь с противником, обычно спешивалась и вела огневой бой. Артиллерийские части отличались высокой боевой подготовкой и вели огонь так же, как и русские артиллеристы, с закрытых позиций.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положение японской армии в обществе и на ее воспитание оказывал большое влияние культ войны, прославление самурайских доблестей и традиций.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Японии всегда прославлялся кодекс самураев - бусидо (путь воина), его оберегали как боевое знамя, возвеличивающее героизм своих воинственных предков. Кодекс бусидо закреплял за самураями привилегированное положение воина, выделял его в особый военный класс. Самураям в период правления в Японии сггунов из феодального дома Токугава (1603-1867 гг.) официально законодательством было предоставлено право убивать всякого простолюдина, который неприличествующим образом ведет себя по отношению к членам военного классам. Так с давних времен охранялось особое положение военной касты.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буржуазной революции 1867-1868 годов (далеко не завершившейся) сословия в том числе и самураи были упразднены но привилегированное положение их продолжало сохраняться. Вместе с падением феодального строя и отменой сословий каста самураев постепенно отходила в прошлое, но офицерский корпус почти целикам составлялся из бывших самураев, а "доблести" и "традиции" их вошли составной частью в идеологический арсенал победившего в революции блока буржуазии и чисти феодалов, захватившего в свои руки власть после свержения клана Токугава. В докладе военного министра России (1902 г.) говорилось; "Бывший военный класс, образовавший ныне военную партию, до сих пор играет видную роль в японской политике... Под давлением той же военной партии... последовало затем совершенно не соответствующее средствам страны развитие вооруженных сил в таких размерах, о которых никогда раньше не могли мечтать японцы". Военный психоз особенно сильно разжигался перед войнами и во время войн. Француз Балле, выступая в штабе маньчжурской армии в июле 1905 года, не без основания заявил, что "Япония стала страною самураев".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Правящая элита и японская военная верхушка много делали для воспитания молодежи в воинственном духе. Низшие и высшие школы были превращены в военно-воспитательные центры детей и молодежи. Японцу с малых лет прививали, что "Япония-центр мира", что ей "принадлежит первенствующая роль на Востоке", что "нет силы, которая могла бы разбить Японию". Вбивалась в головы молодежи и всего населения мысль о перенаселении Японии и о необходимости расширения территории за счет Китая и России.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Японцу с детских лет внушали, что он ради государственных, завоевательных идеалов должен в любое время жертвовать собой, своим личным "я". Сильно было влияние конфуцианства - особенно культа предков. Выступая в военный поход, офицеры и солдаты совершали обряд погребения. Считалось священным имя героя, записанное в храме "шохонша". Призыв молодого японца в армию, которая комплектовалась в основном из крестьян, считался почетным для семьи. При следовании войск население деревни выходило им навстречу и провожало их до следующей деревни. Семьям убитых на войне оказывались почести.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воспитательной системе японской армии наряду с выработкой выносливости, стойкости и храбрости отводилось должное место выработке инициативы, способности самостоятельно оценивать обстановку и действовать в соответствии с ней. Положительной чертой офицерского состава японский армии было и его стремление к самосовершенствованию.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Япония располагала сильным военно-морским флотом, первоклассными военными портами и большим транспортным флотом. Самые лучшие из крупных транспортных судов были обращены во вспомогательные крейсеры.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Подводя итоги подготовки к войне обеих сторон - России и Японии - следует указать на следующее.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не была готова к войне. Царь и его окружение не верили в нападение "небольшой" страны Японии на огромную страну Россию, были убеждены в том, что если она и нападет, то будет разбита без особых усилий. Недооценка сил противника породила преступную беспечность в подготовке военных действий на Дальнем Востоке. Что касается Японии, то она в сравнительно короткий срок значительно усилила свои военные возможности и была готова к войне с Россией.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влияние на ход войны оказала отдаленность театра войны от центров России, весьма низкая пропускная способность имевшихся железных дорог. Сибирская железная дорога на забайкальском участке и Восточно-Китайская железная дорога в начале войны пропускали в сутки только по три "слабых поезда". Устаревшей была крепостная и тяжелая полевая артиллерия. В первые месяцы войны, когда боевые действия происходили и гористой местности, у русских войск отсутствовала современная горная артиллерия. Перед началом войны почти не имелось пулеметов, недостаточны были запасы проволоки и шанцевого инструмента.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 времени начала военных действий русские войска на Дальнем Востоке организационно не были приведены в боевую готовность. Бригады, развернувшиеся в дивизии, еще не закончили формирования. В Маньчжурии находилось мало войск. В намеченный же район сосредоточения было переброшено всего лишь 7,5 батальонов, 6 сотен и 22 орудия.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Японская армия имела превосходство в горной артиллерии. Она также имела к началу войны больше пулеметов. Что касается полевой скорострельной 76-мм пушки и 7,62-мм винтовки русской армии, то они по своим огневым качествам превосходили японские: русская пушка стреляла до 7-8 км, японская же - на 4-5 км: русская винтовка также стреляла дальше японской, полет ее пули был более настильным.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Крупным недостатком русских войск являлось отсутствие налаженной внутренней связи между их родами. Существовавшее взаимодействие пехоты, артиллерии и инженерных войск не соответствовало условиям современной войны. Неполное взаимодействие между родами войск, введение в наступление меньшей части пехоты (боевой части), тогда как ее большая часть (резервы) не участвовала в огневом бое, наступление весьма густыми цепями и удерживание даже еще сомкнутых строев в зоне огня противника, недостаточное использование артиллерии и недооценка огневой силы станковых пулеметов-все это существенно сказалось на боевых действиях в начале войны. Опыт первых боев во многом показал несоответствие предвоенных тактических взглядов новым условиям ведения войны. В ходе войны характер ведения боя изменялся, и заслуга в этом не высшего командования, а самих войсковых масс. Русская пехота, русские артиллеристы и инженеры в развернувшихся боях с сильным противником показали свои высокие боевые качества.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Японская армия, тоже имевшая крупные недостатки в организации ведения боя, в ходе войны исправляла их. Японский солдат также отличался высокими боевыми качествами и храбростью.</w:t>
      </w:r>
    </w:p>
    <w:p w:rsidR="00976D56" w:rsidRDefault="00E073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Развязывая войну, Япония обладала рядом преимуществ, на ее стороне было преимущество в соотношении военно-морских сил. Однако она была подготовлена не к длительной, а к кратковременной войне</w:t>
      </w:r>
    </w:p>
    <w:p w:rsidR="00976D56" w:rsidRDefault="00976D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76D5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3F3"/>
    <w:rsid w:val="00976D56"/>
    <w:rsid w:val="00E073F3"/>
    <w:rsid w:val="00E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75020-ED7B-4115-9555-55AEAB93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00"/>
      <w:u w:val="single"/>
    </w:rPr>
  </w:style>
  <w:style w:type="character" w:styleId="a5">
    <w:name w:val="Emphasis"/>
    <w:basedOn w:val="a0"/>
    <w:uiPriority w:val="99"/>
    <w:qFormat/>
    <w:rPr>
      <w:i/>
      <w:iCs/>
    </w:rPr>
  </w:style>
  <w:style w:type="paragraph" w:styleId="a6">
    <w:name w:val="Normal (Web)"/>
    <w:basedOn w:val="a"/>
    <w:uiPriority w:val="99"/>
    <w:pPr>
      <w:spacing w:before="120" w:after="120"/>
      <w:ind w:firstLine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19641</Words>
  <Characters>11196</Characters>
  <Application>Microsoft Office Word</Application>
  <DocSecurity>0</DocSecurity>
  <Lines>93</Lines>
  <Paragraphs>61</Paragraphs>
  <ScaleCrop>false</ScaleCrop>
  <Company>PERSONAL COMPUTERS</Company>
  <LinksUpToDate>false</LinksUpToDate>
  <CharactersWithSpaces>30776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Вооружение сторон перед началом русско-японской войны</dc:title>
  <dc:subject/>
  <dc:creator>USER</dc:creator>
  <cp:keywords/>
  <dc:description/>
  <cp:lastModifiedBy>admin</cp:lastModifiedBy>
  <cp:revision>2</cp:revision>
  <dcterms:created xsi:type="dcterms:W3CDTF">2014-01-25T23:21:00Z</dcterms:created>
  <dcterms:modified xsi:type="dcterms:W3CDTF">2014-01-25T23:21:00Z</dcterms:modified>
</cp:coreProperties>
</file>