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04" w:rsidRDefault="00F66804">
      <w:pPr>
        <w:widowControl w:val="0"/>
        <w:spacing w:before="120"/>
        <w:jc w:val="center"/>
        <w:rPr>
          <w:b/>
          <w:bCs/>
          <w:color w:val="000000"/>
          <w:sz w:val="32"/>
          <w:szCs w:val="32"/>
        </w:rPr>
      </w:pPr>
      <w:r>
        <w:rPr>
          <w:b/>
          <w:bCs/>
          <w:color w:val="000000"/>
          <w:sz w:val="32"/>
          <w:szCs w:val="32"/>
        </w:rPr>
        <w:t>Вооруженные силы Китая</w:t>
      </w:r>
    </w:p>
    <w:p w:rsidR="00F66804" w:rsidRDefault="00F66804">
      <w:pPr>
        <w:widowControl w:val="0"/>
        <w:spacing w:before="120"/>
        <w:ind w:firstLine="567"/>
        <w:jc w:val="both"/>
        <w:rPr>
          <w:color w:val="000000"/>
          <w:sz w:val="24"/>
          <w:szCs w:val="24"/>
        </w:rPr>
      </w:pPr>
      <w:r>
        <w:rPr>
          <w:color w:val="000000"/>
          <w:sz w:val="24"/>
          <w:szCs w:val="24"/>
        </w:rPr>
        <w:t xml:space="preserve"> Начиная с 1950-х гг. и по середину 1970-х гг. основой военной доктрины Китая являлось понятие "народной войны". Технологическое перевооружение Народной Освободительной Армии Китая (НОАК), появление современных образцов танков, самолетов, ядерного оружия потребовало создание сложной структуры управления войсками и планирования операций, которую не могла уже предоставить устаревшее доктрину. Военное и политическое руководство страны разработало и приняло к действию доктрину "народная война в современных условиях". В ней, с обычной для коммунистического Китая долей маоистской идеологии, были определены стратегические и тактические планы действий НОАК в условиях обычной и ядерной войны. Доктрина предусматривала разработанную Мао Цзэдуном концепцию активной защиты - создание, в случае нападения, армией Китая стратегической обороны с одновременным нанесением тактических ударов. Подобная концепция, по мнению Мао Цзэдуна, должна была обеспечить разгром армии СССР прежде чем она достигнет внутренних районов Китая. Доктрина предусматривала создание приграничной глубоко эшелонированной линии обороны, прикрывающей Северные и Северо-Восточные индустриальные провинции. Роль "народной войны" (по сути партизанских действий) была уменьшена, ведение позиционных приграничных боев потребовало создание новой военной структуры, модернизации вооружений, которые продолжаются по наши дни. "Народная война в современных условиях" предусматривает использование стратегического и тактического ядерного вооружений. Китайские ядерные силы, получили развитие в начале 1980-х гг., как средство сдерживания возможной американской и советской агрессии. Китая не заявлял, что не применит оружие массового поражения первым, но неоднократно подчеркивал его использование в случае нанесения ядерного удара по его территории. Особый интерес для военного руководства Китая представляет тактическое ядерное оружие. Его планируется использовать как в наступательных, так и в оборонительных операциях. </w:t>
      </w:r>
    </w:p>
    <w:p w:rsidR="00F66804" w:rsidRDefault="00F66804">
      <w:pPr>
        <w:widowControl w:val="0"/>
        <w:spacing w:before="120"/>
        <w:jc w:val="center"/>
        <w:rPr>
          <w:color w:val="000000"/>
          <w:sz w:val="28"/>
          <w:szCs w:val="28"/>
        </w:rPr>
      </w:pPr>
      <w:r>
        <w:rPr>
          <w:rStyle w:val="a4"/>
          <w:color w:val="000000"/>
          <w:sz w:val="28"/>
          <w:szCs w:val="28"/>
        </w:rPr>
        <w:t>Сухопутные силы</w:t>
      </w:r>
    </w:p>
    <w:p w:rsidR="00F66804" w:rsidRDefault="00F66804">
      <w:pPr>
        <w:widowControl w:val="0"/>
        <w:spacing w:before="120"/>
        <w:ind w:firstLine="567"/>
        <w:jc w:val="both"/>
        <w:rPr>
          <w:color w:val="000000"/>
          <w:sz w:val="24"/>
          <w:szCs w:val="24"/>
        </w:rPr>
      </w:pPr>
      <w:r>
        <w:rPr>
          <w:color w:val="000000"/>
          <w:sz w:val="24"/>
          <w:szCs w:val="24"/>
        </w:rPr>
        <w:t>Наземные силы НОАК включают в себя армейские и региональные соединения и составляют 70% всех вооруженных сил Китая. Армейские подразделения хорошо подготовлены для ведения оборонительных боевых действий, но их слабым звеном остается подготовка личного состава и техники к войне с применением ядерного, химического и биологического оружия. Состав сухопутных сил НОАК: 35 армий включающих в себя 118 мотострелковых дивизий, 13 танковых дивизий, 33 артиллерийские дивизии и дивизии ПВО, 71 полк и 21 батальон (преимущественно саперные, медицинские, химической защиты и строительные). Состав региональных сил: 73 пограничных дивизии и гарнизонных отряда, 140 полков. Согласно новой военной доктрине произошло укрупнение армейских соединений: теперь каждая армия общей численностью 46 300 чел., включает в свой состав 4 мотострелковые дивизии, пехотные, танковые, артиллерийские соединения, части ПВО, транспортной и фронтовой авиации. Из-за нехватки вооружений армейские соединения остаются преимущественно пехотными. 13 танковых дивизий, имеющих в своем составе каждая 3 полка с 240 танками, недостаточно для адекватной поддержки мотострелковых частей. Анализ боев на вьетнамо-китайской границе в 1979 г. показывает, что большая часть танков использовалась в качестве самоходной артиллерии и бронетранспортеров. В артиллерийских соединениях приняты на вооружения буксируемые артиллерийские орудия, гаубицы, установленные на грузовики-платформы системы залпового огня. В 1980-х гг. в НОАК на вооружение поступили самоходные артиллерийские установки. Но военное руководство приняло решение об их замене на системы реактивной артиллерии, как более дешевую альтернативу. Инженерные части НОАК обеспечены ремонтно-эвакуационной, понтонной техникой, гусеничными и колесными тягачами. В 1979 г. на вооружение поступил противотанковая ракетная установка. Общее обеспечение саперной (системы минирования и разминирования) техники остается недостаточным. Региональные силы - части НОАК, несущие гарнизонную службу. На вооружении стоят системы тяжелой артиллерии, части региональных сил развернуты вдоль границы и побережья, прикрывая направления возможного удара. Во время культурной революции широко применялись для проведения политических репрессий. На вооружении НОАК стоят образцы советской техники 1950-х гг. частично модернизированной по западным технологиям. При модернизации военной техники основной упор осуществляется на противотанковую и противовоздушную защиту. В настоящее время на вооружении НОАК стоит основной боевой танк Т-69, улучшенная версия танка Т-59, созданного на основе советского танка Т-54. При модернизации была усилена броня, установлены стабилизатор танкового орудия, система управления огнем, 105-мм. гладкоствольная пушка. В 1980-х гг. в западной печати прошло упоминание о создании танка Т-80. Он имеет на вооружении новый двигатель, 105-мм. пушку и системы управления огнем. По неподтвержденным данным НОАК располагает тактическим ядерным оружием. Армия Китая испытывает острую нехватку противотанковых ракет, ракет "земля-воздух", систем связи и управления огнем. В 1979 г. Китай начал производство советской противотанковой ракеты "Sagger". Отдельная проблема - нехватка мобильных и переносных ракетных систем противовоздушной обороны.</w:t>
      </w:r>
    </w:p>
    <w:p w:rsidR="00F66804" w:rsidRDefault="00F66804">
      <w:pPr>
        <w:widowControl w:val="0"/>
        <w:spacing w:before="120"/>
        <w:jc w:val="center"/>
        <w:rPr>
          <w:b/>
          <w:bCs/>
          <w:color w:val="000000"/>
          <w:sz w:val="28"/>
          <w:szCs w:val="28"/>
        </w:rPr>
      </w:pPr>
      <w:r>
        <w:rPr>
          <w:b/>
          <w:bCs/>
          <w:color w:val="000000"/>
          <w:sz w:val="28"/>
          <w:szCs w:val="28"/>
        </w:rPr>
        <w:t xml:space="preserve"> </w:t>
      </w:r>
      <w:r>
        <w:rPr>
          <w:rStyle w:val="a4"/>
          <w:b w:val="0"/>
          <w:bCs w:val="0"/>
          <w:color w:val="000000"/>
          <w:sz w:val="28"/>
          <w:szCs w:val="28"/>
        </w:rPr>
        <w:t>Типы вооружений принятые в сухопутных силах НОАК</w:t>
      </w:r>
    </w:p>
    <w:p w:rsidR="00F66804" w:rsidRDefault="00F66804">
      <w:pPr>
        <w:widowControl w:val="0"/>
        <w:spacing w:before="120"/>
        <w:ind w:firstLine="567"/>
        <w:jc w:val="both"/>
        <w:rPr>
          <w:color w:val="000000"/>
          <w:sz w:val="24"/>
          <w:szCs w:val="24"/>
        </w:rPr>
      </w:pPr>
      <w:r>
        <w:rPr>
          <w:color w:val="000000"/>
          <w:sz w:val="24"/>
          <w:szCs w:val="24"/>
        </w:rPr>
        <w:t>Танки</w:t>
      </w:r>
    </w:p>
    <w:tbl>
      <w:tblPr>
        <w:tblW w:w="4800" w:type="pct"/>
        <w:jc w:val="center"/>
        <w:tblCellSpacing w:w="7" w:type="dxa"/>
        <w:tblCellMar>
          <w:left w:w="0" w:type="dxa"/>
          <w:right w:w="0" w:type="dxa"/>
        </w:tblCellMar>
        <w:tblLook w:val="0000" w:firstRow="0" w:lastRow="0" w:firstColumn="0" w:lastColumn="0" w:noHBand="0" w:noVBand="0"/>
      </w:tblPr>
      <w:tblGrid>
        <w:gridCol w:w="757"/>
        <w:gridCol w:w="8522"/>
      </w:tblGrid>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Т-80</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38 т., 105-мм. пушка</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Т-69</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36 т., 105-мм. пушка, является улучшенным вариантом Т-59</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Т-59</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36 т., 100-мм. пушка, является аналогом советского танка Т-54</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Т-63</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18 т., 85-мм. пушка, аналог советского плавающего танка ПТ-76</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Т-62</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21 т., 85-мм. пушка, разведывательный танк на основе Т-59</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Т-34</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вес 32 т., 85-мм. пушка, советский танк, передается региональным силам НОАК БТР и БМП</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М-1984</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БТР, 23-мм. пушка</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М-1974</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БМП - 2 человека экипажа, 20 перевозимых солдат, 12,7-мм пулемет, гусеничных ход</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М-1967</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БМП - 4 человека экипажа, 10 перевозимых солдат, гусеничный ход, амфибия.</w:t>
            </w:r>
          </w:p>
        </w:tc>
      </w:tr>
    </w:tbl>
    <w:p w:rsidR="00F66804" w:rsidRDefault="00F66804">
      <w:pPr>
        <w:widowControl w:val="0"/>
        <w:spacing w:before="120"/>
        <w:ind w:firstLine="567"/>
        <w:jc w:val="both"/>
        <w:rPr>
          <w:color w:val="000000"/>
          <w:sz w:val="24"/>
          <w:szCs w:val="24"/>
        </w:rPr>
      </w:pPr>
      <w:r>
        <w:rPr>
          <w:rStyle w:val="a4"/>
          <w:b w:val="0"/>
          <w:bCs w:val="0"/>
          <w:color w:val="000000"/>
          <w:sz w:val="24"/>
          <w:szCs w:val="24"/>
        </w:rPr>
        <w:t>Артиллерия</w:t>
      </w:r>
    </w:p>
    <w:tbl>
      <w:tblPr>
        <w:tblW w:w="4800" w:type="pct"/>
        <w:tblCellSpacing w:w="7" w:type="dxa"/>
        <w:tblInd w:w="-15" w:type="dxa"/>
        <w:tblCellMar>
          <w:left w:w="0" w:type="dxa"/>
          <w:right w:w="0" w:type="dxa"/>
        </w:tblCellMar>
        <w:tblLook w:val="0000" w:firstRow="0" w:lastRow="0" w:firstColumn="0" w:lastColumn="0" w:noHBand="0" w:noVBand="0"/>
      </w:tblPr>
      <w:tblGrid>
        <w:gridCol w:w="3267"/>
        <w:gridCol w:w="6012"/>
      </w:tblGrid>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152-мм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принята на вооружения в 1980-х гг.</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152-мм. самоходная 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принята на вооружения в 1980-х гг.</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152-мм. пушка-гаубица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аналог советской Д-20</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152-мм. 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аналог советской М-1943</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130-мм. полевая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иногда классифицируется как 122-мм. пушка</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122-мм. пушка-гаубица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аналог советской Д-30</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122-мм.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аналог советской Д-74</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122-мм. 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аналог советской М-1938</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122-мм. самоходная гаубица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монтирована на базе М-1967</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85-мм. противотанковая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аналог советской Д-44</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130-мм. система залпового огня</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19 направляющих, колесный ход</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130-мм. система залпового огня</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19 направляющих, гусеничный ход</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122-мм. система залпового огня</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аналог советской БМ-21</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107-мм. система залпового огня</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 направляющих, буксируемая</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М-1979 система установки мин</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10 направляющих.</w:t>
            </w:r>
          </w:p>
        </w:tc>
      </w:tr>
    </w:tbl>
    <w:p w:rsidR="00F66804" w:rsidRDefault="00F66804">
      <w:pPr>
        <w:widowControl w:val="0"/>
        <w:spacing w:before="120"/>
        <w:ind w:firstLine="567"/>
        <w:jc w:val="both"/>
        <w:rPr>
          <w:color w:val="000000"/>
          <w:sz w:val="24"/>
          <w:szCs w:val="24"/>
        </w:rPr>
      </w:pPr>
      <w:r>
        <w:rPr>
          <w:rStyle w:val="a4"/>
          <w:b w:val="0"/>
          <w:bCs w:val="0"/>
          <w:color w:val="000000"/>
          <w:sz w:val="24"/>
          <w:szCs w:val="24"/>
        </w:rPr>
        <w:t>Артиллерия ПВО</w:t>
      </w:r>
    </w:p>
    <w:tbl>
      <w:tblPr>
        <w:tblW w:w="4800" w:type="pct"/>
        <w:tblCellSpacing w:w="7" w:type="dxa"/>
        <w:tblInd w:w="-29" w:type="dxa"/>
        <w:tblCellMar>
          <w:left w:w="0" w:type="dxa"/>
          <w:right w:w="0" w:type="dxa"/>
        </w:tblCellMar>
        <w:tblLook w:val="0000" w:firstRow="0" w:lastRow="0" w:firstColumn="0" w:lastColumn="0" w:noHBand="0" w:noVBand="0"/>
      </w:tblPr>
      <w:tblGrid>
        <w:gridCol w:w="1856"/>
        <w:gridCol w:w="7452"/>
      </w:tblGrid>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100-мм.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радар, копия советской КС-19</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85-мм.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буксируемая, радар, копия советской КС-18</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57-мм.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радар или оптика, буксируемая, радар, копия советской С-60</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37-мм.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оптика, буксируемая, сдвоенная установка</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37-мм. пушка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оптика, буксируемая, аналог советской М-1939</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14,5-мм. пулемет</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оптика, буксируемая, счетверенная установка, копия советской ЗПУ-2</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14,5-мм. пулемет</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оптика, буксируемая, сдвоенная установка, копия советской ЗПУ-4</w:t>
            </w:r>
          </w:p>
        </w:tc>
      </w:tr>
    </w:tbl>
    <w:p w:rsidR="00F66804" w:rsidRDefault="00F66804">
      <w:pPr>
        <w:widowControl w:val="0"/>
        <w:spacing w:before="120"/>
        <w:jc w:val="center"/>
        <w:rPr>
          <w:color w:val="000000"/>
          <w:sz w:val="28"/>
          <w:szCs w:val="28"/>
        </w:rPr>
      </w:pPr>
      <w:r>
        <w:rPr>
          <w:rStyle w:val="a4"/>
          <w:color w:val="000000"/>
          <w:sz w:val="28"/>
          <w:szCs w:val="28"/>
        </w:rPr>
        <w:t>Военно-воздушные силы</w:t>
      </w:r>
    </w:p>
    <w:p w:rsidR="00F66804" w:rsidRDefault="00F66804">
      <w:pPr>
        <w:widowControl w:val="0"/>
        <w:spacing w:before="120"/>
        <w:ind w:firstLine="567"/>
        <w:jc w:val="both"/>
        <w:rPr>
          <w:color w:val="000000"/>
          <w:sz w:val="24"/>
          <w:szCs w:val="24"/>
        </w:rPr>
      </w:pPr>
      <w:r>
        <w:rPr>
          <w:color w:val="000000"/>
          <w:sz w:val="24"/>
          <w:szCs w:val="24"/>
        </w:rPr>
        <w:t>В 1949 г. СССР стал оказывать помощь Китаю в создании собственных военно-воздушных сил, в конце 1951 г. начались поставки самолетов. Двумя годами позже Советский Союз передал КНР лицензию на производство техники. В 1956 г. Китай стал производить аналог МиГ-15С (под названием F-4S), восемью годами позже стал производить F-5 (аналог Миг-17) и F-6 (аналог Миг-19). СССР вел подготовку китайских пилотов. Прекращение военной помощи со стороны Советов оказало самое неблагоприятное воздействие на развитие ВВС Китая. Начиная с 1963 г. резко снизилось производство авиационной техники. ВВС Китая принимали активное участие в Корейской войне, в кризисе в Тайваньском проливе (1958 г.), во время вьетнамского конфликта действие китайской авиации было ограниченным: военное руководство не рискнуло вступить в боевые действия с меньшими по численности, но лучше обученными и оснащенными ВВС Вьетнама. С 1985 г. началась реорганизация ВВС КНР. В мирное время управление ВВС осуществляется центральным штабом ВВС через штабы военных округов, в военное время руководство перейдет непосредственно штабам округов. Каждая дивизия ВВС численностью 17 000 чел., состоит из трех полков. Каждый полк состоит из трех эскадрилий, в составе каждой эскадрильи три или четыре самолета. ВВС располагают собственными силами ПВО, численностью 220 тыс. чел., на их вооружении стоят 100 ракет класса "земля-воздух" и свыше 16 000 зенитных орудий, системы раннего обнаружения - части ПВО ВВС сведены в 22 полка. С 1980-х гг. усилилось учебная подготовка персонала, было проведено сокращение летного состава предпенсионного возраста, повышена безопасность полетов. С 1987 г. военная авиация Китая столкнулась с острой нехваткой современных боевых самолетов. Основные требования, предъявляемое к новым моделям - лучшая авионика, установка систем противодействия обнаружению и управления огнем, оснащение более мощным вооружением, системами борьбы с низколетящими ракетами "земля-воздух". С применением западных технологий был создан самолет F-7 (аналог МиГ-21) и F-8 (созданного на основе нескольких советских проектов), увеличена дальность полета бомбардировщика B-6D и истребителя А-5, начато производство зенитных ракет HQ-2J и ракет "воздух-море" С-601.</w:t>
      </w:r>
    </w:p>
    <w:p w:rsidR="00F66804" w:rsidRDefault="00F66804">
      <w:pPr>
        <w:widowControl w:val="0"/>
        <w:spacing w:before="120"/>
        <w:ind w:firstLine="567"/>
        <w:jc w:val="both"/>
        <w:rPr>
          <w:color w:val="000000"/>
          <w:sz w:val="24"/>
          <w:szCs w:val="24"/>
        </w:rPr>
      </w:pPr>
      <w:r>
        <w:rPr>
          <w:color w:val="000000"/>
          <w:sz w:val="24"/>
          <w:szCs w:val="24"/>
        </w:rPr>
        <w:t xml:space="preserve"> Типы вооружений принятые в ВВС НОАК</w:t>
      </w:r>
    </w:p>
    <w:tbl>
      <w:tblPr>
        <w:tblW w:w="4800" w:type="pct"/>
        <w:jc w:val="center"/>
        <w:tblCellSpacing w:w="7" w:type="dxa"/>
        <w:tblCellMar>
          <w:left w:w="0" w:type="dxa"/>
          <w:right w:w="0" w:type="dxa"/>
        </w:tblCellMar>
        <w:tblLook w:val="0000" w:firstRow="0" w:lastRow="0" w:firstColumn="0" w:lastColumn="0" w:noHBand="0" w:noVBand="0"/>
      </w:tblPr>
      <w:tblGrid>
        <w:gridCol w:w="3947"/>
        <w:gridCol w:w="5361"/>
      </w:tblGrid>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Системы ПВО</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ракеты "воздух-воздух"</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100 установок</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зенитные орудия</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16 000 орудий</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Самолеты</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F-8</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30 истребителей (модель создана на основе нескольких советских проектов)</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F-7</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200 истребителей (аналог МиГ-21)</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F-6</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3 000 истребителей (аналог МиГ-19)</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F-5</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400 истребителей (аналог МиГ-17)</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F-4 и А-5</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500 штурмовиков (аналог и улучшенный аналог соответственно МиГ-15)</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В-6</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120 бомбардировщиков (аналог ТУ-16)</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В-5</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500 бомбардировщиков (аналог Ил-28)</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Y-5, Y-7, Y-8, Ил-14, Ил-18, Трайдент</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lang w:val="en-US"/>
              </w:rPr>
            </w:pPr>
            <w:r w:rsidRPr="00F66804">
              <w:rPr>
                <w:color w:val="000000"/>
                <w:sz w:val="24"/>
                <w:szCs w:val="24"/>
                <w:lang w:val="en-US"/>
              </w:rPr>
              <w:t xml:space="preserve">550 </w:t>
            </w:r>
            <w:r w:rsidRPr="00F66804">
              <w:rPr>
                <w:color w:val="000000"/>
                <w:sz w:val="24"/>
                <w:szCs w:val="24"/>
              </w:rPr>
              <w:t>самолетов</w:t>
            </w:r>
          </w:p>
        </w:tc>
      </w:tr>
      <w:tr w:rsidR="00F66804" w:rsidRPr="00F66804">
        <w:trPr>
          <w:tblCellSpacing w:w="7" w:type="dxa"/>
          <w:jc w:val="center"/>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lang w:val="en-US"/>
              </w:rPr>
            </w:pPr>
            <w:r w:rsidRPr="00F66804">
              <w:rPr>
                <w:color w:val="000000"/>
                <w:sz w:val="24"/>
                <w:szCs w:val="24"/>
                <w:lang w:val="en-US"/>
              </w:rPr>
              <w:t>Z-5 6, Z-9, Alouette, Super Frelon, Bell, Super Puma, Sikorsky</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400 вертолетов</w:t>
            </w:r>
          </w:p>
        </w:tc>
      </w:tr>
    </w:tbl>
    <w:p w:rsidR="00F66804" w:rsidRDefault="00F66804">
      <w:pPr>
        <w:widowControl w:val="0"/>
        <w:spacing w:before="120"/>
        <w:jc w:val="center"/>
        <w:rPr>
          <w:b/>
          <w:bCs/>
          <w:color w:val="000000"/>
          <w:sz w:val="28"/>
          <w:szCs w:val="28"/>
        </w:rPr>
      </w:pPr>
      <w:r>
        <w:rPr>
          <w:b/>
          <w:bCs/>
          <w:color w:val="000000"/>
          <w:sz w:val="28"/>
          <w:szCs w:val="28"/>
        </w:rPr>
        <w:t>Военно-морские силы</w:t>
      </w:r>
    </w:p>
    <w:p w:rsidR="00F66804" w:rsidRDefault="00F66804">
      <w:pPr>
        <w:widowControl w:val="0"/>
        <w:spacing w:before="120"/>
        <w:ind w:firstLine="567"/>
        <w:jc w:val="both"/>
        <w:rPr>
          <w:color w:val="000000"/>
          <w:sz w:val="24"/>
          <w:szCs w:val="24"/>
        </w:rPr>
      </w:pPr>
      <w:r>
        <w:rPr>
          <w:color w:val="000000"/>
          <w:sz w:val="24"/>
          <w:szCs w:val="24"/>
        </w:rPr>
        <w:t>Хотя ВМС Китая составляет не более 12% всей НОАК, они являются третьими в мире по размерам военно-морскими силами. В 1987 г. командная структура ВМС состояла из штаба ВМС (Пекин) и штабов Северного флота (Циндао), Восточного (Шанхай) и Южного (Чжаньцзян). Численность персонала 350 тыс. чел., в строю действуют 2 000 судов. Флот располагает собственными ПВО - численность 34 тыс. чел., отрядами береговой охраны - численность 38 тыс. чел., морским корпусом - численностью 56,5 тыс. чел. Штаб ВМС подчиняется Генеральному штабу НОАК. Береговая линия КНР защищена более чем 100 дизельными подводными лодками класса "Romeo" и " Whiskey" с ограниченным временем пребывания на боевом дежурстве. Внутри этого защитного кольца и за пределами зоны досягаемости самолетов ВМС размещены эскадренные миноносцы и фрегаты, с установленными противокорабельными ракетами класса "Styx" и 130-мм. орудиями. В случае прорыва кольца эсминцев и фрегатов противник будет атакован более чем 900 быстроходными судами. Штормовая погода сокращает эффективность их использования и воздушной поддержки. Побережье прикрыто отрядами береговой охраны, на вооружении которых стоят ракеты "Styx" и противокорабельная артиллерия. В 1950 г. в городе Далянь была основана военно-морская академия, основу преподавательского состава которой составили советские советники. К 1954 г. численность военно-морских советников из СССР достигала 2 500 чел. В 1954 и 1955 г. при поддержке СССР была проведена реорганизация флотов: были созданы три штаба :Северного, Восточного и Южного флотов). Первоначально Китай строил суда по советским проектам, позже начал их производство собственными силами. В тоже время началось обсуждение возможности создания совместного советско-китайского Тихоокеанского флота. В июле 1967 г. ВМС использовалось для подавления восстания. Пик военно-морского строительства пришелся на 1970-е гг. Число подводных лодок возросло с 35 до 100, судов-ракетоносцев с 20 до 200, началось строительство крупных судов, способных вести боевые действия в океане, подводных лодок несущих ядерные торпеды и баллистические ракеты. В 1980-х гг. наблюдался некоторое снижение роли ВМС. Основные усилия были направлены на модернизацию существующих судов, подготовку персонала, создание новой концепции взаимодействия подводного, надводного флотов и авиации. В 1982 г. был проведен успешный подводный пуск баллистической ракеты. В 1984-85 гг. усилилась активность китайских ВМС в Южно-Китайском море. В 1986 г. на вооружение ВМС поступили 2 ядерные подводные лодки класса "Xia" с 12 баллистическими ракетами на борту, 3 ядерные подводные лодки класса "Han" с 6 крылатыми ракетами "SY-2". В наши дни флот испытывает недостаток в вооружениях для борьбы с подводными лодками, минирования и разминирования, электронике (борьба с радарами и средствами обнаружения), оснащением авиации флота.</w:t>
      </w:r>
    </w:p>
    <w:p w:rsidR="00F66804" w:rsidRDefault="00F66804">
      <w:pPr>
        <w:widowControl w:val="0"/>
        <w:spacing w:before="120"/>
        <w:jc w:val="center"/>
        <w:rPr>
          <w:b/>
          <w:bCs/>
          <w:color w:val="000000"/>
          <w:sz w:val="28"/>
          <w:szCs w:val="28"/>
        </w:rPr>
      </w:pPr>
      <w:r>
        <w:rPr>
          <w:b/>
          <w:bCs/>
          <w:color w:val="000000"/>
          <w:sz w:val="28"/>
          <w:szCs w:val="28"/>
        </w:rPr>
        <w:t xml:space="preserve"> Типы вооружений принятые в ВМС НОАК</w:t>
      </w:r>
    </w:p>
    <w:tbl>
      <w:tblPr>
        <w:tblW w:w="4800" w:type="pct"/>
        <w:tblCellSpacing w:w="7" w:type="dxa"/>
        <w:tblInd w:w="-29" w:type="dxa"/>
        <w:tblCellMar>
          <w:left w:w="0" w:type="dxa"/>
          <w:right w:w="0" w:type="dxa"/>
        </w:tblCellMar>
        <w:tblLook w:val="0000" w:firstRow="0" w:lastRow="0" w:firstColumn="0" w:lastColumn="0" w:noHBand="0" w:noVBand="0"/>
      </w:tblPr>
      <w:tblGrid>
        <w:gridCol w:w="2970"/>
        <w:gridCol w:w="6338"/>
      </w:tblGrid>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Подводные лодки</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"Xia"</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 лодки, вооруженные баллистическими ядерными ракетами</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"Han"</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 лодки, с ядерным вооружением</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"Golf"</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 лодка (учебная)</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"Romeo"</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90 лодок, дизельные</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"Whiskey"</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20 лодок, дизельные</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"Ming"</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 лодки (учебные)</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Надводные суда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"Luda"</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11 эсминцев</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"Anshan"</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 эсминца</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"Jianghu"</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20 фрегатов</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"Jiangdong"</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 фрегата</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"Chengdu"</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 фрегата</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Класс "Jiangnan"</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 фрегатов</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Патрульные корабли</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14 кораблей</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Патрульные катера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181 катер</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Патрульные быстроходные суда</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877 судов, вооруженных пушкой, реактивной установкой или торпедами</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Миноносцы</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33 корабля</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Амфибии</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613 амфибий</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Корабли поддержки</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49 кораблей</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Авиация ВМС</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В-6</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50 бомбардировщиков</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В-5</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130 бомбардировщиков</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F-4, F-5, F-6, F-7</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600 истребителей</w:t>
            </w:r>
          </w:p>
        </w:tc>
      </w:tr>
    </w:tbl>
    <w:p w:rsidR="00F66804" w:rsidRDefault="00F66804">
      <w:pPr>
        <w:widowControl w:val="0"/>
        <w:spacing w:before="120"/>
        <w:jc w:val="center"/>
        <w:rPr>
          <w:b/>
          <w:bCs/>
          <w:color w:val="000000"/>
          <w:sz w:val="28"/>
          <w:szCs w:val="28"/>
        </w:rPr>
      </w:pPr>
      <w:r>
        <w:rPr>
          <w:b/>
          <w:bCs/>
          <w:color w:val="000000"/>
          <w:sz w:val="28"/>
          <w:szCs w:val="28"/>
        </w:rPr>
        <w:t>Ядерные силы</w:t>
      </w:r>
    </w:p>
    <w:p w:rsidR="00F66804" w:rsidRDefault="00F66804">
      <w:pPr>
        <w:widowControl w:val="0"/>
        <w:spacing w:before="120"/>
        <w:ind w:firstLine="567"/>
        <w:jc w:val="both"/>
        <w:rPr>
          <w:color w:val="000000"/>
          <w:sz w:val="24"/>
          <w:szCs w:val="24"/>
        </w:rPr>
      </w:pPr>
      <w:r>
        <w:rPr>
          <w:color w:val="000000"/>
          <w:sz w:val="24"/>
          <w:szCs w:val="24"/>
        </w:rPr>
        <w:t>В 1980-х гг. Китай был третьей в мире державой, обладающей ядерным оружием. Число ядерных боеголовок и бомб оценивалось в диапазоне от 225 до 300 единиц. Их обслуживает персонал общей численностью в 100 тыс. чел, в отдельный род войск выделены Ракетные Стратегические силы, подчиняющиеся Генеральному Штабу. Китай начал вести работы по созданию собственной атомной бомбы еще в 1950-х гг. при активной помощи СССР. С началом осложнения китайско-советских отношений в конце 1950-х и начале 1960-х гг., Советы отказали в передаче планов и технологий атомного оружия и отозвали своих советников. Тем не менее, руководство КНР поставило высший приоритет задаче по завершению проекта. Появление новой атомной сверхдержавы смогло бы "предотвратить угрозу советского и американского вторжения, подняло на высокий уровень международный престиж страны". 16.10.1964 г. Китай провел первое успешное испытание атомной бомбы, 25.10.1966 г. успешно запустил ракету, способную нести ядерную боеголовку, 14.07.1967 г. провел испытание водородной бомбы. В 1960-х гг. произошло развертывание баллистических ракет типа "Dongfeng-1" (малого радиуса действия) и "Dongfeng-2" (среднего радиуса действия), в 1969 г. было проведено успешное испытание баллистических ракет типа "Dongfeng-3". С началом культурной революции был нанесен сильный удар по квалифицированным специалистам, ведущим работы над созданием ядерного оружия. В 1970-х гг. Китай продолжил развертывание ракет средней дальности и провел испытание новой ракеты малой дальности "Dongfeng-4". В 1980-х гг. КНР преодолела отставание в ядерной гонке, вызванное разгромом научных центров, и в 1980 г. успешно провела пуск баллистической ракеты дальнего радиуса действия "Dongfeng-5". Ракета была запущена в Центральном Китае и достигла западной части Тихого океана. "Dongfeng-5" способна поразить цели в западных районах бывшего СССР и США. В 1981 г. Китай вывел на орбиту три спутника с помощью одной ракеты носителя. Это говорит о том, что китайская армия способна нанести ядерный удар ракетами с независимо наводящимися боеголовками. В 1981 г. на вооружение ВМС стали поступать подводные лодки класса "Xia", несущие баллистические ракеты. В том же году особое внимание стало уделяться развитию тактического ядерного оружия. По неподтвержденным данным Китай уже в 1987 г. располагал подобным типом вооружений. В 1986 г. ядерные силы можно было рассматривать как силы сдерживания. Ведь средства доставки ядерных зарядов вряд ли бы смогли преодолеть системы ПВО стран типа СССР. Китай постоянно совершенствует как средства доставки так и сами типы ядерного оружия, пусковые шахты располагают и рассредоточивают в труднодоступных районах, укрепляют и маскируют их местоположение.</w:t>
      </w:r>
    </w:p>
    <w:p w:rsidR="00F66804" w:rsidRDefault="00F66804">
      <w:pPr>
        <w:widowControl w:val="0"/>
        <w:spacing w:before="120"/>
        <w:jc w:val="center"/>
        <w:rPr>
          <w:b/>
          <w:bCs/>
          <w:color w:val="000000"/>
          <w:sz w:val="28"/>
          <w:szCs w:val="28"/>
        </w:rPr>
      </w:pPr>
      <w:r>
        <w:rPr>
          <w:b/>
          <w:bCs/>
          <w:color w:val="000000"/>
          <w:sz w:val="28"/>
          <w:szCs w:val="28"/>
        </w:rPr>
        <w:t xml:space="preserve"> Типы вооружений принятые в Ракетных стратегических силах НОАК</w:t>
      </w:r>
    </w:p>
    <w:tbl>
      <w:tblPr>
        <w:tblW w:w="4800" w:type="pct"/>
        <w:tblCellSpacing w:w="7" w:type="dxa"/>
        <w:tblInd w:w="-29" w:type="dxa"/>
        <w:tblCellMar>
          <w:left w:w="0" w:type="dxa"/>
          <w:right w:w="0" w:type="dxa"/>
        </w:tblCellMar>
        <w:tblLook w:val="0000" w:firstRow="0" w:lastRow="0" w:firstColumn="0" w:lastColumn="0" w:noHBand="0" w:noVBand="0"/>
      </w:tblPr>
      <w:tblGrid>
        <w:gridCol w:w="3341"/>
        <w:gridCol w:w="5967"/>
      </w:tblGrid>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Ракеты</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Ракета типа "Dongfeng-2"</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50 ракет</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Ракета типа "Dongfeng-3"</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60 ракет</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Ракета типа "Dongfeng-4"</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4 ракеты</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Ракета типа "Dongfeng-5"</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 ракеты</w:t>
            </w: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Подводные лодки</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p>
        </w:tc>
      </w:tr>
      <w:tr w:rsidR="00F66804" w:rsidRPr="00F66804">
        <w:trPr>
          <w:tblCellSpacing w:w="7" w:type="dxa"/>
        </w:trPr>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Лодка класса "Xia"</w:t>
            </w:r>
          </w:p>
        </w:tc>
        <w:tc>
          <w:tcPr>
            <w:tcW w:w="0" w:type="auto"/>
            <w:tcBorders>
              <w:top w:val="nil"/>
              <w:left w:val="nil"/>
              <w:bottom w:val="nil"/>
              <w:right w:val="nil"/>
            </w:tcBorders>
            <w:vAlign w:val="center"/>
          </w:tcPr>
          <w:p w:rsidR="00F66804" w:rsidRPr="00F66804" w:rsidRDefault="00F66804">
            <w:pPr>
              <w:widowControl w:val="0"/>
              <w:jc w:val="both"/>
              <w:rPr>
                <w:color w:val="000000"/>
                <w:sz w:val="24"/>
                <w:szCs w:val="24"/>
              </w:rPr>
            </w:pPr>
            <w:r w:rsidRPr="00F66804">
              <w:rPr>
                <w:color w:val="000000"/>
                <w:sz w:val="24"/>
                <w:szCs w:val="24"/>
              </w:rPr>
              <w:t>2 лодки, на каждой 12 ракет типа "CSS-NX-4"</w:t>
            </w:r>
          </w:p>
        </w:tc>
      </w:tr>
    </w:tbl>
    <w:p w:rsidR="00F66804" w:rsidRDefault="00F66804">
      <w:bookmarkStart w:id="0" w:name="_GoBack"/>
      <w:bookmarkEnd w:id="0"/>
    </w:p>
    <w:sectPr w:rsidR="00F668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2ADE"/>
    <w:multiLevelType w:val="hybridMultilevel"/>
    <w:tmpl w:val="8496F04C"/>
    <w:lvl w:ilvl="0" w:tplc="12F80C5A">
      <w:start w:val="1"/>
      <w:numFmt w:val="bullet"/>
      <w:lvlText w:val=""/>
      <w:lvlJc w:val="left"/>
      <w:pPr>
        <w:tabs>
          <w:tab w:val="num" w:pos="720"/>
        </w:tabs>
        <w:ind w:left="720" w:hanging="360"/>
      </w:pPr>
      <w:rPr>
        <w:rFonts w:ascii="Symbol" w:hAnsi="Symbol" w:cs="Symbol" w:hint="default"/>
        <w:sz w:val="20"/>
        <w:szCs w:val="20"/>
      </w:rPr>
    </w:lvl>
    <w:lvl w:ilvl="1" w:tplc="437AF248">
      <w:start w:val="1"/>
      <w:numFmt w:val="bullet"/>
      <w:lvlText w:val="o"/>
      <w:lvlJc w:val="left"/>
      <w:pPr>
        <w:tabs>
          <w:tab w:val="num" w:pos="1440"/>
        </w:tabs>
        <w:ind w:left="1440" w:hanging="360"/>
      </w:pPr>
      <w:rPr>
        <w:rFonts w:ascii="Courier New" w:hAnsi="Courier New" w:cs="Courier New" w:hint="default"/>
        <w:sz w:val="20"/>
        <w:szCs w:val="20"/>
      </w:rPr>
    </w:lvl>
    <w:lvl w:ilvl="2" w:tplc="467C5C8C">
      <w:start w:val="1"/>
      <w:numFmt w:val="bullet"/>
      <w:lvlText w:val=""/>
      <w:lvlJc w:val="left"/>
      <w:pPr>
        <w:tabs>
          <w:tab w:val="num" w:pos="2160"/>
        </w:tabs>
        <w:ind w:left="2160" w:hanging="360"/>
      </w:pPr>
      <w:rPr>
        <w:rFonts w:ascii="Wingdings" w:hAnsi="Wingdings" w:cs="Wingdings" w:hint="default"/>
        <w:sz w:val="20"/>
        <w:szCs w:val="20"/>
      </w:rPr>
    </w:lvl>
    <w:lvl w:ilvl="3" w:tplc="DB9ECFFA">
      <w:start w:val="1"/>
      <w:numFmt w:val="bullet"/>
      <w:lvlText w:val=""/>
      <w:lvlJc w:val="left"/>
      <w:pPr>
        <w:tabs>
          <w:tab w:val="num" w:pos="2880"/>
        </w:tabs>
        <w:ind w:left="2880" w:hanging="360"/>
      </w:pPr>
      <w:rPr>
        <w:rFonts w:ascii="Wingdings" w:hAnsi="Wingdings" w:cs="Wingdings" w:hint="default"/>
        <w:sz w:val="20"/>
        <w:szCs w:val="20"/>
      </w:rPr>
    </w:lvl>
    <w:lvl w:ilvl="4" w:tplc="3858D828">
      <w:start w:val="1"/>
      <w:numFmt w:val="bullet"/>
      <w:lvlText w:val=""/>
      <w:lvlJc w:val="left"/>
      <w:pPr>
        <w:tabs>
          <w:tab w:val="num" w:pos="3600"/>
        </w:tabs>
        <w:ind w:left="3600" w:hanging="360"/>
      </w:pPr>
      <w:rPr>
        <w:rFonts w:ascii="Wingdings" w:hAnsi="Wingdings" w:cs="Wingdings" w:hint="default"/>
        <w:sz w:val="20"/>
        <w:szCs w:val="20"/>
      </w:rPr>
    </w:lvl>
    <w:lvl w:ilvl="5" w:tplc="F65A6F3E">
      <w:start w:val="1"/>
      <w:numFmt w:val="bullet"/>
      <w:lvlText w:val=""/>
      <w:lvlJc w:val="left"/>
      <w:pPr>
        <w:tabs>
          <w:tab w:val="num" w:pos="4320"/>
        </w:tabs>
        <w:ind w:left="4320" w:hanging="360"/>
      </w:pPr>
      <w:rPr>
        <w:rFonts w:ascii="Wingdings" w:hAnsi="Wingdings" w:cs="Wingdings" w:hint="default"/>
        <w:sz w:val="20"/>
        <w:szCs w:val="20"/>
      </w:rPr>
    </w:lvl>
    <w:lvl w:ilvl="6" w:tplc="F9BAE69E">
      <w:start w:val="1"/>
      <w:numFmt w:val="bullet"/>
      <w:lvlText w:val=""/>
      <w:lvlJc w:val="left"/>
      <w:pPr>
        <w:tabs>
          <w:tab w:val="num" w:pos="5040"/>
        </w:tabs>
        <w:ind w:left="5040" w:hanging="360"/>
      </w:pPr>
      <w:rPr>
        <w:rFonts w:ascii="Wingdings" w:hAnsi="Wingdings" w:cs="Wingdings" w:hint="default"/>
        <w:sz w:val="20"/>
        <w:szCs w:val="20"/>
      </w:rPr>
    </w:lvl>
    <w:lvl w:ilvl="7" w:tplc="DA3CBD9E">
      <w:start w:val="1"/>
      <w:numFmt w:val="bullet"/>
      <w:lvlText w:val=""/>
      <w:lvlJc w:val="left"/>
      <w:pPr>
        <w:tabs>
          <w:tab w:val="num" w:pos="5760"/>
        </w:tabs>
        <w:ind w:left="5760" w:hanging="360"/>
      </w:pPr>
      <w:rPr>
        <w:rFonts w:ascii="Wingdings" w:hAnsi="Wingdings" w:cs="Wingdings" w:hint="default"/>
        <w:sz w:val="20"/>
        <w:szCs w:val="20"/>
      </w:rPr>
    </w:lvl>
    <w:lvl w:ilvl="8" w:tplc="D51E63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C8A762E"/>
    <w:multiLevelType w:val="hybridMultilevel"/>
    <w:tmpl w:val="103C544A"/>
    <w:lvl w:ilvl="0" w:tplc="1AD829D2">
      <w:start w:val="1"/>
      <w:numFmt w:val="bullet"/>
      <w:lvlText w:val=""/>
      <w:lvlJc w:val="left"/>
      <w:pPr>
        <w:tabs>
          <w:tab w:val="num" w:pos="720"/>
        </w:tabs>
        <w:ind w:left="720" w:hanging="360"/>
      </w:pPr>
      <w:rPr>
        <w:rFonts w:ascii="Symbol" w:hAnsi="Symbol" w:cs="Symbol" w:hint="default"/>
        <w:sz w:val="20"/>
        <w:szCs w:val="20"/>
      </w:rPr>
    </w:lvl>
    <w:lvl w:ilvl="1" w:tplc="D74ABFC8">
      <w:start w:val="1"/>
      <w:numFmt w:val="bullet"/>
      <w:lvlText w:val="o"/>
      <w:lvlJc w:val="left"/>
      <w:pPr>
        <w:tabs>
          <w:tab w:val="num" w:pos="1440"/>
        </w:tabs>
        <w:ind w:left="1440" w:hanging="360"/>
      </w:pPr>
      <w:rPr>
        <w:rFonts w:ascii="Courier New" w:hAnsi="Courier New" w:cs="Courier New" w:hint="default"/>
        <w:sz w:val="20"/>
        <w:szCs w:val="20"/>
      </w:rPr>
    </w:lvl>
    <w:lvl w:ilvl="2" w:tplc="FC308BB4">
      <w:start w:val="1"/>
      <w:numFmt w:val="bullet"/>
      <w:lvlText w:val=""/>
      <w:lvlJc w:val="left"/>
      <w:pPr>
        <w:tabs>
          <w:tab w:val="num" w:pos="2160"/>
        </w:tabs>
        <w:ind w:left="2160" w:hanging="360"/>
      </w:pPr>
      <w:rPr>
        <w:rFonts w:ascii="Wingdings" w:hAnsi="Wingdings" w:cs="Wingdings" w:hint="default"/>
        <w:sz w:val="20"/>
        <w:szCs w:val="20"/>
      </w:rPr>
    </w:lvl>
    <w:lvl w:ilvl="3" w:tplc="F7CCECF6">
      <w:start w:val="1"/>
      <w:numFmt w:val="bullet"/>
      <w:lvlText w:val=""/>
      <w:lvlJc w:val="left"/>
      <w:pPr>
        <w:tabs>
          <w:tab w:val="num" w:pos="2880"/>
        </w:tabs>
        <w:ind w:left="2880" w:hanging="360"/>
      </w:pPr>
      <w:rPr>
        <w:rFonts w:ascii="Wingdings" w:hAnsi="Wingdings" w:cs="Wingdings" w:hint="default"/>
        <w:sz w:val="20"/>
        <w:szCs w:val="20"/>
      </w:rPr>
    </w:lvl>
    <w:lvl w:ilvl="4" w:tplc="5368286A">
      <w:start w:val="1"/>
      <w:numFmt w:val="bullet"/>
      <w:lvlText w:val=""/>
      <w:lvlJc w:val="left"/>
      <w:pPr>
        <w:tabs>
          <w:tab w:val="num" w:pos="3600"/>
        </w:tabs>
        <w:ind w:left="3600" w:hanging="360"/>
      </w:pPr>
      <w:rPr>
        <w:rFonts w:ascii="Wingdings" w:hAnsi="Wingdings" w:cs="Wingdings" w:hint="default"/>
        <w:sz w:val="20"/>
        <w:szCs w:val="20"/>
      </w:rPr>
    </w:lvl>
    <w:lvl w:ilvl="5" w:tplc="DDFA52EE">
      <w:start w:val="1"/>
      <w:numFmt w:val="bullet"/>
      <w:lvlText w:val=""/>
      <w:lvlJc w:val="left"/>
      <w:pPr>
        <w:tabs>
          <w:tab w:val="num" w:pos="4320"/>
        </w:tabs>
        <w:ind w:left="4320" w:hanging="360"/>
      </w:pPr>
      <w:rPr>
        <w:rFonts w:ascii="Wingdings" w:hAnsi="Wingdings" w:cs="Wingdings" w:hint="default"/>
        <w:sz w:val="20"/>
        <w:szCs w:val="20"/>
      </w:rPr>
    </w:lvl>
    <w:lvl w:ilvl="6" w:tplc="F39E8A0A">
      <w:start w:val="1"/>
      <w:numFmt w:val="bullet"/>
      <w:lvlText w:val=""/>
      <w:lvlJc w:val="left"/>
      <w:pPr>
        <w:tabs>
          <w:tab w:val="num" w:pos="5040"/>
        </w:tabs>
        <w:ind w:left="5040" w:hanging="360"/>
      </w:pPr>
      <w:rPr>
        <w:rFonts w:ascii="Wingdings" w:hAnsi="Wingdings" w:cs="Wingdings" w:hint="default"/>
        <w:sz w:val="20"/>
        <w:szCs w:val="20"/>
      </w:rPr>
    </w:lvl>
    <w:lvl w:ilvl="7" w:tplc="458C5A92">
      <w:start w:val="1"/>
      <w:numFmt w:val="bullet"/>
      <w:lvlText w:val=""/>
      <w:lvlJc w:val="left"/>
      <w:pPr>
        <w:tabs>
          <w:tab w:val="num" w:pos="5760"/>
        </w:tabs>
        <w:ind w:left="5760" w:hanging="360"/>
      </w:pPr>
      <w:rPr>
        <w:rFonts w:ascii="Wingdings" w:hAnsi="Wingdings" w:cs="Wingdings" w:hint="default"/>
        <w:sz w:val="20"/>
        <w:szCs w:val="20"/>
      </w:rPr>
    </w:lvl>
    <w:lvl w:ilvl="8" w:tplc="137CBF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E921C78"/>
    <w:multiLevelType w:val="hybridMultilevel"/>
    <w:tmpl w:val="9EB070A6"/>
    <w:lvl w:ilvl="0" w:tplc="1556E12C">
      <w:start w:val="1"/>
      <w:numFmt w:val="bullet"/>
      <w:lvlText w:val=""/>
      <w:lvlJc w:val="left"/>
      <w:pPr>
        <w:tabs>
          <w:tab w:val="num" w:pos="720"/>
        </w:tabs>
        <w:ind w:left="720" w:hanging="360"/>
      </w:pPr>
      <w:rPr>
        <w:rFonts w:ascii="Symbol" w:hAnsi="Symbol" w:cs="Symbol" w:hint="default"/>
        <w:sz w:val="20"/>
        <w:szCs w:val="20"/>
      </w:rPr>
    </w:lvl>
    <w:lvl w:ilvl="1" w:tplc="D876C0BC">
      <w:start w:val="1"/>
      <w:numFmt w:val="bullet"/>
      <w:lvlText w:val="o"/>
      <w:lvlJc w:val="left"/>
      <w:pPr>
        <w:tabs>
          <w:tab w:val="num" w:pos="1440"/>
        </w:tabs>
        <w:ind w:left="1440" w:hanging="360"/>
      </w:pPr>
      <w:rPr>
        <w:rFonts w:ascii="Courier New" w:hAnsi="Courier New" w:cs="Courier New" w:hint="default"/>
        <w:sz w:val="20"/>
        <w:szCs w:val="20"/>
      </w:rPr>
    </w:lvl>
    <w:lvl w:ilvl="2" w:tplc="6478A5A8">
      <w:start w:val="1"/>
      <w:numFmt w:val="bullet"/>
      <w:lvlText w:val=""/>
      <w:lvlJc w:val="left"/>
      <w:pPr>
        <w:tabs>
          <w:tab w:val="num" w:pos="2160"/>
        </w:tabs>
        <w:ind w:left="2160" w:hanging="360"/>
      </w:pPr>
      <w:rPr>
        <w:rFonts w:ascii="Wingdings" w:hAnsi="Wingdings" w:cs="Wingdings" w:hint="default"/>
        <w:sz w:val="20"/>
        <w:szCs w:val="20"/>
      </w:rPr>
    </w:lvl>
    <w:lvl w:ilvl="3" w:tplc="9948FF88">
      <w:start w:val="1"/>
      <w:numFmt w:val="bullet"/>
      <w:lvlText w:val=""/>
      <w:lvlJc w:val="left"/>
      <w:pPr>
        <w:tabs>
          <w:tab w:val="num" w:pos="2880"/>
        </w:tabs>
        <w:ind w:left="2880" w:hanging="360"/>
      </w:pPr>
      <w:rPr>
        <w:rFonts w:ascii="Wingdings" w:hAnsi="Wingdings" w:cs="Wingdings" w:hint="default"/>
        <w:sz w:val="20"/>
        <w:szCs w:val="20"/>
      </w:rPr>
    </w:lvl>
    <w:lvl w:ilvl="4" w:tplc="CF244F0E">
      <w:start w:val="1"/>
      <w:numFmt w:val="bullet"/>
      <w:lvlText w:val=""/>
      <w:lvlJc w:val="left"/>
      <w:pPr>
        <w:tabs>
          <w:tab w:val="num" w:pos="3600"/>
        </w:tabs>
        <w:ind w:left="3600" w:hanging="360"/>
      </w:pPr>
      <w:rPr>
        <w:rFonts w:ascii="Wingdings" w:hAnsi="Wingdings" w:cs="Wingdings" w:hint="default"/>
        <w:sz w:val="20"/>
        <w:szCs w:val="20"/>
      </w:rPr>
    </w:lvl>
    <w:lvl w:ilvl="5" w:tplc="477838F6">
      <w:start w:val="1"/>
      <w:numFmt w:val="bullet"/>
      <w:lvlText w:val=""/>
      <w:lvlJc w:val="left"/>
      <w:pPr>
        <w:tabs>
          <w:tab w:val="num" w:pos="4320"/>
        </w:tabs>
        <w:ind w:left="4320" w:hanging="360"/>
      </w:pPr>
      <w:rPr>
        <w:rFonts w:ascii="Wingdings" w:hAnsi="Wingdings" w:cs="Wingdings" w:hint="default"/>
        <w:sz w:val="20"/>
        <w:szCs w:val="20"/>
      </w:rPr>
    </w:lvl>
    <w:lvl w:ilvl="6" w:tplc="92426A12">
      <w:start w:val="1"/>
      <w:numFmt w:val="bullet"/>
      <w:lvlText w:val=""/>
      <w:lvlJc w:val="left"/>
      <w:pPr>
        <w:tabs>
          <w:tab w:val="num" w:pos="5040"/>
        </w:tabs>
        <w:ind w:left="5040" w:hanging="360"/>
      </w:pPr>
      <w:rPr>
        <w:rFonts w:ascii="Wingdings" w:hAnsi="Wingdings" w:cs="Wingdings" w:hint="default"/>
        <w:sz w:val="20"/>
        <w:szCs w:val="20"/>
      </w:rPr>
    </w:lvl>
    <w:lvl w:ilvl="7" w:tplc="98683514">
      <w:start w:val="1"/>
      <w:numFmt w:val="bullet"/>
      <w:lvlText w:val=""/>
      <w:lvlJc w:val="left"/>
      <w:pPr>
        <w:tabs>
          <w:tab w:val="num" w:pos="5760"/>
        </w:tabs>
        <w:ind w:left="5760" w:hanging="360"/>
      </w:pPr>
      <w:rPr>
        <w:rFonts w:ascii="Wingdings" w:hAnsi="Wingdings" w:cs="Wingdings" w:hint="default"/>
        <w:sz w:val="20"/>
        <w:szCs w:val="20"/>
      </w:rPr>
    </w:lvl>
    <w:lvl w:ilvl="8" w:tplc="9CC49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CE81341"/>
    <w:multiLevelType w:val="hybridMultilevel"/>
    <w:tmpl w:val="B0FAE018"/>
    <w:lvl w:ilvl="0" w:tplc="73FAC656">
      <w:start w:val="1"/>
      <w:numFmt w:val="bullet"/>
      <w:lvlText w:val=""/>
      <w:lvlJc w:val="left"/>
      <w:pPr>
        <w:tabs>
          <w:tab w:val="num" w:pos="720"/>
        </w:tabs>
        <w:ind w:left="720" w:hanging="360"/>
      </w:pPr>
      <w:rPr>
        <w:rFonts w:ascii="Wingdings" w:hAnsi="Wingdings" w:cs="Wingdings" w:hint="default"/>
        <w:sz w:val="20"/>
        <w:szCs w:val="20"/>
      </w:rPr>
    </w:lvl>
    <w:lvl w:ilvl="1" w:tplc="7A4E987E">
      <w:start w:val="1"/>
      <w:numFmt w:val="bullet"/>
      <w:lvlText w:val=""/>
      <w:lvlJc w:val="left"/>
      <w:pPr>
        <w:tabs>
          <w:tab w:val="num" w:pos="1440"/>
        </w:tabs>
        <w:ind w:left="1440" w:hanging="360"/>
      </w:pPr>
      <w:rPr>
        <w:rFonts w:ascii="Wingdings" w:hAnsi="Wingdings" w:cs="Wingdings" w:hint="default"/>
        <w:sz w:val="20"/>
        <w:szCs w:val="20"/>
      </w:rPr>
    </w:lvl>
    <w:lvl w:ilvl="2" w:tplc="8DB49740">
      <w:start w:val="1"/>
      <w:numFmt w:val="bullet"/>
      <w:lvlText w:val=""/>
      <w:lvlJc w:val="left"/>
      <w:pPr>
        <w:tabs>
          <w:tab w:val="num" w:pos="2160"/>
        </w:tabs>
        <w:ind w:left="2160" w:hanging="360"/>
      </w:pPr>
      <w:rPr>
        <w:rFonts w:ascii="Wingdings" w:hAnsi="Wingdings" w:cs="Wingdings" w:hint="default"/>
        <w:sz w:val="20"/>
        <w:szCs w:val="20"/>
      </w:rPr>
    </w:lvl>
    <w:lvl w:ilvl="3" w:tplc="0144FFB0">
      <w:start w:val="1"/>
      <w:numFmt w:val="bullet"/>
      <w:lvlText w:val=""/>
      <w:lvlJc w:val="left"/>
      <w:pPr>
        <w:tabs>
          <w:tab w:val="num" w:pos="2880"/>
        </w:tabs>
        <w:ind w:left="2880" w:hanging="360"/>
      </w:pPr>
      <w:rPr>
        <w:rFonts w:ascii="Wingdings" w:hAnsi="Wingdings" w:cs="Wingdings" w:hint="default"/>
        <w:sz w:val="20"/>
        <w:szCs w:val="20"/>
      </w:rPr>
    </w:lvl>
    <w:lvl w:ilvl="4" w:tplc="B2DC2DD0">
      <w:start w:val="1"/>
      <w:numFmt w:val="bullet"/>
      <w:lvlText w:val=""/>
      <w:lvlJc w:val="left"/>
      <w:pPr>
        <w:tabs>
          <w:tab w:val="num" w:pos="3600"/>
        </w:tabs>
        <w:ind w:left="3600" w:hanging="360"/>
      </w:pPr>
      <w:rPr>
        <w:rFonts w:ascii="Wingdings" w:hAnsi="Wingdings" w:cs="Wingdings" w:hint="default"/>
        <w:sz w:val="20"/>
        <w:szCs w:val="20"/>
      </w:rPr>
    </w:lvl>
    <w:lvl w:ilvl="5" w:tplc="0054EA9E">
      <w:start w:val="1"/>
      <w:numFmt w:val="bullet"/>
      <w:lvlText w:val=""/>
      <w:lvlJc w:val="left"/>
      <w:pPr>
        <w:tabs>
          <w:tab w:val="num" w:pos="4320"/>
        </w:tabs>
        <w:ind w:left="4320" w:hanging="360"/>
      </w:pPr>
      <w:rPr>
        <w:rFonts w:ascii="Wingdings" w:hAnsi="Wingdings" w:cs="Wingdings" w:hint="default"/>
        <w:sz w:val="20"/>
        <w:szCs w:val="20"/>
      </w:rPr>
    </w:lvl>
    <w:lvl w:ilvl="6" w:tplc="4E0A409A">
      <w:start w:val="1"/>
      <w:numFmt w:val="bullet"/>
      <w:lvlText w:val=""/>
      <w:lvlJc w:val="left"/>
      <w:pPr>
        <w:tabs>
          <w:tab w:val="num" w:pos="5040"/>
        </w:tabs>
        <w:ind w:left="5040" w:hanging="360"/>
      </w:pPr>
      <w:rPr>
        <w:rFonts w:ascii="Wingdings" w:hAnsi="Wingdings" w:cs="Wingdings" w:hint="default"/>
        <w:sz w:val="20"/>
        <w:szCs w:val="20"/>
      </w:rPr>
    </w:lvl>
    <w:lvl w:ilvl="7" w:tplc="C84A6090">
      <w:start w:val="1"/>
      <w:numFmt w:val="bullet"/>
      <w:lvlText w:val=""/>
      <w:lvlJc w:val="left"/>
      <w:pPr>
        <w:tabs>
          <w:tab w:val="num" w:pos="5760"/>
        </w:tabs>
        <w:ind w:left="5760" w:hanging="360"/>
      </w:pPr>
      <w:rPr>
        <w:rFonts w:ascii="Wingdings" w:hAnsi="Wingdings" w:cs="Wingdings" w:hint="default"/>
        <w:sz w:val="20"/>
        <w:szCs w:val="20"/>
      </w:rPr>
    </w:lvl>
    <w:lvl w:ilvl="8" w:tplc="E8CA108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0B4"/>
    <w:rsid w:val="00EB5594"/>
    <w:rsid w:val="00F16087"/>
    <w:rsid w:val="00F66804"/>
    <w:rsid w:val="00F83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8718DF-D63F-416E-AAA9-140183E9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checkbox">
    <w:name w:val="checkbox"/>
    <w:basedOn w:val="a"/>
    <w:uiPriority w:val="99"/>
    <w:pPr>
      <w:pBdr>
        <w:top w:val="single" w:sz="2" w:space="0" w:color="auto"/>
        <w:left w:val="single" w:sz="2" w:space="0" w:color="auto"/>
        <w:bottom w:val="single" w:sz="2" w:space="0" w:color="auto"/>
        <w:right w:val="single" w:sz="2" w:space="0" w:color="auto"/>
      </w:pBdr>
      <w:spacing w:before="100" w:beforeAutospacing="1" w:after="100" w:afterAutospacing="1"/>
    </w:pPr>
    <w:rPr>
      <w:rFonts w:ascii="Verdana" w:hAnsi="Verdana" w:cs="Verdana"/>
      <w:sz w:val="2"/>
      <w:szCs w:val="2"/>
    </w:rPr>
  </w:style>
  <w:style w:type="paragraph" w:customStyle="1" w:styleId="name">
    <w:name w:val="name"/>
    <w:basedOn w:val="a"/>
    <w:uiPriority w:val="99"/>
    <w:pPr>
      <w:spacing w:after="120"/>
    </w:pPr>
    <w:rPr>
      <w:rFonts w:ascii="Arial" w:hAnsi="Arial" w:cs="Arial"/>
      <w:b/>
      <w:bCs/>
      <w:sz w:val="24"/>
      <w:szCs w:val="24"/>
    </w:rPr>
  </w:style>
  <w:style w:type="paragraph" w:customStyle="1" w:styleId="item">
    <w:name w:val="item"/>
    <w:basedOn w:val="a"/>
    <w:uiPriority w:val="99"/>
    <w:pPr>
      <w:spacing w:before="100" w:beforeAutospacing="1" w:after="100" w:afterAutospacing="1"/>
    </w:pPr>
    <w:rPr>
      <w:rFonts w:ascii="Arial" w:hAnsi="Arial" w:cs="Arial"/>
      <w:sz w:val="18"/>
      <w:szCs w:val="18"/>
    </w:rPr>
  </w:style>
  <w:style w:type="paragraph" w:customStyle="1" w:styleId="item0">
    <w:name w:val="item0"/>
    <w:basedOn w:val="a"/>
    <w:uiPriority w:val="99"/>
    <w:pPr>
      <w:spacing w:before="100" w:beforeAutospacing="1" w:after="100" w:afterAutospacing="1"/>
    </w:pPr>
    <w:rPr>
      <w:rFonts w:ascii="Arial" w:hAnsi="Arial" w:cs="Arial"/>
      <w:sz w:val="18"/>
      <w:szCs w:val="18"/>
    </w:rPr>
  </w:style>
  <w:style w:type="paragraph" w:customStyle="1" w:styleId="item1">
    <w:name w:val="item1"/>
    <w:basedOn w:val="a"/>
    <w:uiPriority w:val="99"/>
    <w:pPr>
      <w:spacing w:before="100" w:beforeAutospacing="1" w:after="100" w:afterAutospacing="1"/>
    </w:pPr>
    <w:rPr>
      <w:rFonts w:ascii="Arial" w:hAnsi="Arial" w:cs="Arial"/>
    </w:rPr>
  </w:style>
  <w:style w:type="paragraph" w:customStyle="1" w:styleId="item2">
    <w:name w:val="item2"/>
    <w:basedOn w:val="a"/>
    <w:uiPriority w:val="99"/>
    <w:pPr>
      <w:spacing w:before="100" w:beforeAutospacing="1" w:after="100" w:afterAutospacing="1"/>
    </w:pPr>
    <w:rPr>
      <w:rFonts w:ascii="Arial" w:hAnsi="Arial" w:cs="Arial"/>
      <w:sz w:val="17"/>
      <w:szCs w:val="17"/>
    </w:rPr>
  </w:style>
  <w:style w:type="paragraph" w:customStyle="1" w:styleId="item3">
    <w:name w:val="item3"/>
    <w:basedOn w:val="a"/>
    <w:uiPriority w:val="99"/>
    <w:pPr>
      <w:spacing w:before="100" w:beforeAutospacing="1" w:after="100" w:afterAutospacing="1"/>
    </w:pPr>
    <w:rPr>
      <w:rFonts w:ascii="Verdana" w:hAnsi="Verdana" w:cs="Verdana"/>
      <w:sz w:val="17"/>
      <w:szCs w:val="17"/>
    </w:rPr>
  </w:style>
  <w:style w:type="paragraph" w:customStyle="1" w:styleId="item4">
    <w:name w:val="item4"/>
    <w:basedOn w:val="a"/>
    <w:uiPriority w:val="99"/>
    <w:pPr>
      <w:spacing w:before="100" w:beforeAutospacing="1" w:after="100" w:afterAutospacing="1"/>
    </w:pPr>
    <w:rPr>
      <w:rFonts w:ascii="Arial" w:hAnsi="Arial" w:cs="Arial"/>
      <w:color w:val="0000FF"/>
    </w:rPr>
  </w:style>
  <w:style w:type="paragraph" w:customStyle="1" w:styleId="item5">
    <w:name w:val="item5"/>
    <w:basedOn w:val="a"/>
    <w:uiPriority w:val="99"/>
    <w:pPr>
      <w:spacing w:before="100" w:beforeAutospacing="1" w:after="100" w:afterAutospacing="1"/>
    </w:pPr>
    <w:rPr>
      <w:rFonts w:ascii="Arial" w:hAnsi="Arial" w:cs="Arial"/>
      <w:sz w:val="18"/>
      <w:szCs w:val="18"/>
    </w:rPr>
  </w:style>
  <w:style w:type="paragraph" w:customStyle="1" w:styleId="item6">
    <w:name w:val="item6"/>
    <w:basedOn w:val="a"/>
    <w:uiPriority w:val="99"/>
    <w:pPr>
      <w:spacing w:before="100" w:beforeAutospacing="1" w:after="100" w:afterAutospacing="1"/>
    </w:pPr>
    <w:rPr>
      <w:rFonts w:ascii="Arial" w:hAnsi="Arial" w:cs="Arial"/>
      <w:color w:val="0000FF"/>
      <w:sz w:val="18"/>
      <w:szCs w:val="18"/>
    </w:rPr>
  </w:style>
  <w:style w:type="paragraph" w:customStyle="1" w:styleId="item7">
    <w:name w:val="item7"/>
    <w:basedOn w:val="a"/>
    <w:uiPriority w:val="99"/>
    <w:pPr>
      <w:spacing w:before="100" w:beforeAutospacing="1" w:after="100" w:afterAutospacing="1"/>
    </w:pPr>
    <w:rPr>
      <w:rFonts w:ascii="Arial" w:hAnsi="Arial" w:cs="Arial"/>
      <w:sz w:val="15"/>
      <w:szCs w:val="15"/>
    </w:rPr>
  </w:style>
  <w:style w:type="paragraph" w:customStyle="1" w:styleId="item8">
    <w:name w:val="item8"/>
    <w:basedOn w:val="a"/>
    <w:uiPriority w:val="99"/>
    <w:pPr>
      <w:spacing w:before="100" w:beforeAutospacing="1" w:after="100" w:afterAutospacing="1"/>
    </w:pPr>
    <w:rPr>
      <w:rFonts w:ascii="Arial" w:hAnsi="Arial" w:cs="Arial"/>
      <w:color w:val="FFFFFF"/>
      <w:sz w:val="21"/>
      <w:szCs w:val="21"/>
    </w:rPr>
  </w:style>
  <w:style w:type="paragraph" w:customStyle="1" w:styleId="item9">
    <w:name w:val="item9"/>
    <w:basedOn w:val="a"/>
    <w:uiPriority w:val="99"/>
    <w:pPr>
      <w:spacing w:before="100" w:beforeAutospacing="1" w:after="100" w:afterAutospacing="1"/>
    </w:pPr>
    <w:rPr>
      <w:rFonts w:ascii="Arial" w:hAnsi="Arial" w:cs="Arial"/>
    </w:rPr>
  </w:style>
  <w:style w:type="paragraph" w:customStyle="1" w:styleId="item10">
    <w:name w:val="item10"/>
    <w:basedOn w:val="a"/>
    <w:uiPriority w:val="99"/>
    <w:pPr>
      <w:spacing w:before="100" w:beforeAutospacing="1" w:after="100" w:afterAutospacing="1"/>
    </w:pPr>
    <w:rPr>
      <w:rFonts w:ascii="Arial" w:hAnsi="Arial" w:cs="Arial"/>
      <w:sz w:val="18"/>
      <w:szCs w:val="18"/>
    </w:rPr>
  </w:style>
  <w:style w:type="paragraph" w:customStyle="1" w:styleId="push">
    <w:name w:val="push"/>
    <w:basedOn w:val="a"/>
    <w:uiPriority w:val="99"/>
    <w:pPr>
      <w:spacing w:before="100" w:beforeAutospacing="1" w:after="100" w:afterAutospacing="1"/>
    </w:pPr>
    <w:rPr>
      <w:rFonts w:ascii="Verdana" w:hAnsi="Verdana" w:cs="Verdana"/>
      <w:b/>
      <w:bCs/>
      <w:color w:val="FFFFFF"/>
      <w:sz w:val="16"/>
      <w:szCs w:val="16"/>
    </w:rPr>
  </w:style>
  <w:style w:type="paragraph" w:customStyle="1" w:styleId="item11">
    <w:name w:val="item11"/>
    <w:basedOn w:val="a"/>
    <w:uiPriority w:val="99"/>
    <w:pPr>
      <w:spacing w:after="120"/>
    </w:pPr>
    <w:rPr>
      <w:rFonts w:ascii="Arial" w:hAnsi="Arial" w:cs="Arial"/>
      <w:b/>
      <w:bCs/>
      <w:sz w:val="18"/>
      <w:szCs w:val="18"/>
    </w:rPr>
  </w:style>
  <w:style w:type="character" w:styleId="a4">
    <w:name w:val="Strong"/>
    <w:uiPriority w:val="99"/>
    <w:qFormat/>
    <w:rPr>
      <w:b/>
      <w:bCs/>
    </w:rPr>
  </w:style>
  <w:style w:type="character" w:styleId="a5">
    <w:name w:val="Hyperlink"/>
    <w:uiPriority w:val="99"/>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10734</Words>
  <Characters>6119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Вооруженные силы Китая</vt:lpstr>
    </vt:vector>
  </TitlesOfParts>
  <Company>PERSONAL COMPUTERS</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Вооруженные силы Китая</dc:title>
  <dc:subject/>
  <dc:creator>USER</dc:creator>
  <cp:keywords/>
  <dc:description/>
  <cp:lastModifiedBy>admin</cp:lastModifiedBy>
  <cp:revision>2</cp:revision>
  <dcterms:created xsi:type="dcterms:W3CDTF">2014-01-27T02:35:00Z</dcterms:created>
  <dcterms:modified xsi:type="dcterms:W3CDTF">2014-01-27T02:35:00Z</dcterms:modified>
</cp:coreProperties>
</file>