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60" w:rsidRDefault="002B3660">
      <w:pPr>
        <w:pStyle w:val="a4"/>
        <w:jc w:val="center"/>
        <w:rPr>
          <w:rFonts w:ascii="Times New Roman" w:hAnsi="Times New Roman"/>
          <w:sz w:val="28"/>
        </w:rPr>
      </w:pPr>
    </w:p>
    <w:p w:rsidR="002B3660" w:rsidRDefault="002B3660">
      <w:pPr>
        <w:pStyle w:val="a4"/>
        <w:jc w:val="center"/>
        <w:rPr>
          <w:rFonts w:ascii="Times New Roman" w:hAnsi="Times New Roman"/>
          <w:sz w:val="28"/>
        </w:rPr>
      </w:pPr>
    </w:p>
    <w:p w:rsidR="002B3660" w:rsidRDefault="002B3660">
      <w:pPr>
        <w:pStyle w:val="a4"/>
        <w:jc w:val="center"/>
        <w:rPr>
          <w:rFonts w:ascii="Times New Roman" w:hAnsi="Times New Roman"/>
          <w:sz w:val="28"/>
        </w:rPr>
      </w:pPr>
    </w:p>
    <w:p w:rsidR="002B3660" w:rsidRDefault="002B3660">
      <w:pPr>
        <w:pStyle w:val="a4"/>
        <w:jc w:val="center"/>
        <w:rPr>
          <w:rFonts w:ascii="Times New Roman" w:hAnsi="Times New Roman"/>
          <w:b/>
          <w:caps/>
          <w:sz w:val="32"/>
        </w:rPr>
      </w:pPr>
    </w:p>
    <w:p w:rsidR="002B3660" w:rsidRDefault="002B3660">
      <w:pPr>
        <w:pStyle w:val="a4"/>
        <w:jc w:val="center"/>
        <w:rPr>
          <w:rFonts w:ascii="Times New Roman" w:hAnsi="Times New Roman"/>
          <w:b/>
          <w:caps/>
          <w:sz w:val="32"/>
        </w:rPr>
      </w:pPr>
    </w:p>
    <w:p w:rsidR="002B3660" w:rsidRDefault="002B3660">
      <w:pPr>
        <w:pStyle w:val="a4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Содержание</w:t>
      </w:r>
    </w:p>
    <w:p w:rsidR="002B3660" w:rsidRDefault="002B3660">
      <w:pPr>
        <w:pStyle w:val="a4"/>
        <w:jc w:val="center"/>
        <w:rPr>
          <w:rFonts w:ascii="Times New Roman" w:hAnsi="Times New Roman"/>
          <w:sz w:val="28"/>
        </w:rPr>
      </w:pPr>
    </w:p>
    <w:p w:rsidR="002B3660" w:rsidRDefault="002B3660">
      <w:pPr>
        <w:pStyle w:val="a4"/>
        <w:jc w:val="center"/>
        <w:rPr>
          <w:rFonts w:ascii="Times New Roman" w:hAnsi="Times New Roman"/>
          <w:sz w:val="28"/>
        </w:rPr>
      </w:pPr>
    </w:p>
    <w:p w:rsidR="002B3660" w:rsidRDefault="002B3660">
      <w:pPr>
        <w:pStyle w:val="a4"/>
        <w:jc w:val="center"/>
        <w:rPr>
          <w:rFonts w:ascii="Times New Roman" w:hAnsi="Times New Roman"/>
          <w:sz w:val="28"/>
        </w:rPr>
      </w:pPr>
    </w:p>
    <w:p w:rsidR="002B3660" w:rsidRDefault="002B3660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1. Атмосфера. Ее строение и состав</w:t>
      </w:r>
      <w:r>
        <w:rPr>
          <w:noProof/>
        </w:rPr>
        <w:tab/>
        <w:t>3</w:t>
      </w:r>
    </w:p>
    <w:p w:rsidR="002B3660" w:rsidRDefault="002B3660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2. Условия формирования и типы почв</w:t>
      </w:r>
      <w:r>
        <w:rPr>
          <w:noProof/>
        </w:rPr>
        <w:tab/>
        <w:t>5</w:t>
      </w:r>
    </w:p>
    <w:p w:rsidR="002B3660" w:rsidRDefault="002B3660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3. Геофизические и магнитные факторы воздействия на биосферу</w:t>
      </w:r>
      <w:r>
        <w:rPr>
          <w:noProof/>
        </w:rPr>
        <w:tab/>
        <w:t>8</w:t>
      </w:r>
    </w:p>
    <w:p w:rsidR="002B3660" w:rsidRDefault="002B3660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4. Основные направления развития современной атомной энергетики</w:t>
      </w:r>
      <w:r>
        <w:rPr>
          <w:noProof/>
        </w:rPr>
        <w:tab/>
        <w:t>11</w:t>
      </w:r>
    </w:p>
    <w:p w:rsidR="002B3660" w:rsidRDefault="002B3660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5. Загрязнение городских территорий</w:t>
      </w:r>
      <w:r>
        <w:rPr>
          <w:noProof/>
        </w:rPr>
        <w:tab/>
        <w:t>13</w:t>
      </w:r>
    </w:p>
    <w:p w:rsidR="002B3660" w:rsidRDefault="002B3660">
      <w:pPr>
        <w:pStyle w:val="30"/>
        <w:tabs>
          <w:tab w:val="left" w:pos="800"/>
          <w:tab w:val="right" w:leader="dot" w:pos="9627"/>
        </w:tabs>
        <w:rPr>
          <w:noProof/>
        </w:rPr>
      </w:pPr>
      <w:r>
        <w:rPr>
          <w:rFonts w:ascii="Symbol" w:hAnsi="Symbol"/>
          <w:noProof/>
        </w:rPr>
        <w:t></w:t>
      </w:r>
      <w:r>
        <w:rPr>
          <w:noProof/>
        </w:rPr>
        <w:tab/>
        <w:t>Общие экологические проблемы городов мира</w:t>
      </w:r>
      <w:r>
        <w:rPr>
          <w:noProof/>
        </w:rPr>
        <w:tab/>
        <w:t>13</w:t>
      </w:r>
    </w:p>
    <w:p w:rsidR="002B3660" w:rsidRDefault="002B3660">
      <w:pPr>
        <w:pStyle w:val="30"/>
        <w:tabs>
          <w:tab w:val="left" w:pos="800"/>
          <w:tab w:val="right" w:leader="dot" w:pos="9627"/>
        </w:tabs>
        <w:rPr>
          <w:noProof/>
        </w:rPr>
      </w:pPr>
      <w:r>
        <w:rPr>
          <w:rFonts w:ascii="Symbol" w:hAnsi="Symbol"/>
          <w:noProof/>
        </w:rPr>
        <w:t></w:t>
      </w:r>
      <w:r>
        <w:rPr>
          <w:noProof/>
        </w:rPr>
        <w:tab/>
        <w:t>Электромагнитные загрязнения</w:t>
      </w:r>
      <w:r>
        <w:rPr>
          <w:noProof/>
        </w:rPr>
        <w:tab/>
        <w:t>14</w:t>
      </w:r>
    </w:p>
    <w:p w:rsidR="002B3660" w:rsidRDefault="002B3660">
      <w:pPr>
        <w:pStyle w:val="10"/>
        <w:tabs>
          <w:tab w:val="right" w:leader="dot" w:pos="9627"/>
        </w:tabs>
        <w:rPr>
          <w:noProof/>
        </w:rPr>
      </w:pPr>
      <w:r>
        <w:rPr>
          <w:noProof/>
        </w:rPr>
        <w:t>Литература</w:t>
      </w:r>
      <w:r>
        <w:rPr>
          <w:noProof/>
        </w:rPr>
        <w:tab/>
        <w:t>15</w:t>
      </w:r>
    </w:p>
    <w:p w:rsidR="002B3660" w:rsidRDefault="002B3660">
      <w:pPr>
        <w:pStyle w:val="a4"/>
        <w:jc w:val="center"/>
        <w:rPr>
          <w:rFonts w:ascii="Times New Roman" w:hAnsi="Times New Roman"/>
          <w:sz w:val="28"/>
        </w:rPr>
      </w:pPr>
    </w:p>
    <w:p w:rsidR="002B3660" w:rsidRDefault="002B3660">
      <w:pPr>
        <w:pStyle w:val="a4"/>
        <w:rPr>
          <w:rFonts w:ascii="Times New Roman" w:hAnsi="Times New Roman"/>
          <w:sz w:val="28"/>
        </w:rPr>
      </w:pPr>
    </w:p>
    <w:p w:rsidR="002B3660" w:rsidRDefault="002B3660">
      <w:pPr>
        <w:pStyle w:val="1"/>
        <w:jc w:val="center"/>
        <w:rPr>
          <w:rFonts w:ascii="Times New Roman" w:hAnsi="Times New Roman"/>
        </w:rPr>
      </w:pPr>
      <w:r>
        <w:br w:type="page"/>
      </w:r>
      <w:bookmarkStart w:id="0" w:name="_Toc472230900"/>
      <w:r>
        <w:rPr>
          <w:rFonts w:ascii="Times New Roman" w:hAnsi="Times New Roman"/>
        </w:rPr>
        <w:t>1. Атмосфера. Ее строение и состав</w:t>
      </w:r>
      <w:bookmarkEnd w:id="0"/>
    </w:p>
    <w:p w:rsidR="002B3660" w:rsidRDefault="002B3660">
      <w:pPr>
        <w:pStyle w:val="a4"/>
        <w:spacing w:line="360" w:lineRule="auto"/>
        <w:rPr>
          <w:rFonts w:ascii="Times New Roman" w:hAnsi="Times New Roman"/>
        </w:rPr>
      </w:pP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Атмосфера – наиболее легкая оболочка Земли, которая граничит с космическим пространством; через атмосферу осуществляется обмен вещества и энергии с космосом.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Современная земная атмосфера представляет собой многокомпонентную воздушную оболочку Земли с массой менее 10</w:t>
      </w:r>
      <w:r>
        <w:rPr>
          <w:rFonts w:ascii="Times New Roman" w:hAnsi="Times New Roman"/>
          <w:vertAlign w:val="superscript"/>
        </w:rPr>
        <w:t>-6</w:t>
      </w:r>
      <w:r>
        <w:rPr>
          <w:rFonts w:ascii="Times New Roman" w:hAnsi="Times New Roman"/>
        </w:rPr>
        <w:t xml:space="preserve"> от массы Земли.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группой компонентов атмосферы является </w:t>
      </w:r>
      <w:r>
        <w:rPr>
          <w:rFonts w:ascii="Times New Roman" w:hAnsi="Times New Roman"/>
          <w:i/>
        </w:rPr>
        <w:t>механическая смесь газов</w:t>
      </w:r>
      <w:r>
        <w:rPr>
          <w:rFonts w:ascii="Times New Roman" w:hAnsi="Times New Roman"/>
        </w:rPr>
        <w:t xml:space="preserve"> в атомарном, молекулярном или кластерном состояниях. Атмосферные газы в условиях земной атмосферы находятся как в нейтральном, так и в ионизированном состоянии. Современная атмосфера является азотно-кислородной, так как объемное содержание нейтральных молекул азота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</w:rPr>
        <w:t xml:space="preserve"> (78%) и кислорода 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(21%) в нижних слоях атмосферы является подавляющим. Тем не менее функциональная роль многих других атмосферных газов остается столь большой, что их также относят к числу основных газов. В это число входят водяной пар, углекислый газ СО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, озон О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. Другие атмосферные газы естественного и индустриального происхождения принято называть малыми газовыми примесями.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Второй важной группой компонентов атмосферы являются </w:t>
      </w:r>
      <w:r>
        <w:rPr>
          <w:rFonts w:ascii="Times New Roman" w:hAnsi="Times New Roman"/>
          <w:i/>
        </w:rPr>
        <w:t>атмосферные аэрозоли</w:t>
      </w:r>
      <w:r>
        <w:rPr>
          <w:rFonts w:ascii="Times New Roman" w:hAnsi="Times New Roman"/>
        </w:rPr>
        <w:t xml:space="preserve"> – взвешенные в воздухе частицы твердого тела или капель жидкости природного и антропогенного происхождения. Аэрозоль с жидкими (туманы, облака) и твердыми частицами (пыль, дымы, смоги) постоянно присутствует в атмосфере, но варьирует в широких пределах по размерам (от кластеров до дождевых капель) и по концентрации. Эти вариации вызываются процессами аэрозолеобразования и трансформации аэрозоля как естественного, так и индустриального происхождения.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Третью важную группу атмосферных компонентов составляют </w:t>
      </w:r>
      <w:r>
        <w:rPr>
          <w:rFonts w:ascii="Times New Roman" w:hAnsi="Times New Roman"/>
          <w:i/>
        </w:rPr>
        <w:t>физические поля</w:t>
      </w:r>
      <w:r>
        <w:rPr>
          <w:rFonts w:ascii="Times New Roman" w:hAnsi="Times New Roman"/>
        </w:rPr>
        <w:t>, постоянно присутствующие в атмосфере и определяющие многие свойства и структуру земной атмосферы. По заметному влиянию на атмосферные процессы, а через них или непосредственно на условия жизни и хозяйственную деятельность человека на планете, можно выделить: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электромагнитное поле,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гравитационное поле,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электростатическое поле, магнитное поле Земли,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космические лучи как особый сверхкороткий диапазон электромагнитных волн.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Все компоненты земной атмосферы имеют неоднородное распределение вдоль земной поверхности и по высоте. Более того, изменяются основные физические параметры этих компонентов, неоднородность которых по высоте выражена более четко, чем по горизонтали.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Вертикальная протяженность атмосферы по некоторым физическим компонентам доходит до 60-70 тыс. км без четкой верхней границы. Атмосфера постепенно переходит в межпланетную среду, но ее определяющая масса сосредоточена в тонком слое, прилегающем к земной поверхности. Примерно 50 % всей массы атмосферы содержится в слое до высоты 5 км, 75 % - до высоты 10, 90 % - до 16, 99% - до 30 км. Убывание массы атмосферы с ростом высоты близко к экспоненциальной зависимости. В сотни раз быстрее по вертикали, чем по горизонтали изменяются и многие другие физические параметры. Поэтому при рассмотрении вопросов о строении атмосферы на первое место выступает неоднородность ее свойств по вертикали.</w:t>
      </w:r>
    </w:p>
    <w:p w:rsidR="002B3660" w:rsidRDefault="002B3660">
      <w:pPr>
        <w:pStyle w:val="a4"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Из многих признаков, на основе которых атмосферу делят на слои (сферы), наиболее употребительным является изменение температуры воздуха в зависимости от высоты.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Тропосфера</w:t>
      </w:r>
      <w:r>
        <w:rPr>
          <w:sz w:val="24"/>
        </w:rPr>
        <w:t xml:space="preserve"> – нижний слой, примыкающий к поверхности Земли (высота 9–17 км). В нем сосредоточено около 80% газового состава атмосферы и весь водяной пар. Характеризуется падением температуры в среднем 6,5°С на 1 км при возможных отклонениях до 3°С на 1 км в ту и другую сторону. Именно в тропосфере образуются туманы и все наиболее важные виды облаков, формируются осадки, грозовая деятельность. В полярных и умеренных широтах высота тропосферы достигает 8-12 км, а в тропиках 16-18 км.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Стратосфера </w:t>
      </w:r>
      <w:r>
        <w:rPr>
          <w:sz w:val="24"/>
        </w:rPr>
        <w:t>– следующий над тропосферой слой атмосферы, в нижней части которого температура остается постоянной и равной примерно минус 56°С (до высоты около 20 км), а затем увеличивается с возрастающим (≈2,8° С/км) градиентом до одинаковой и равной минус 2,5° С для всех широт. Рост температуру в верхних слоях стратосферы обусловлен поглощением ультрафиолетового излучения озоном.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 xml:space="preserve">Мезосфера – </w:t>
      </w:r>
      <w:r>
        <w:rPr>
          <w:sz w:val="24"/>
        </w:rPr>
        <w:t>следующий над стратосферой слой атмосферы, в котором температура понижается с градиентом около 3,5 °С/км и на высоте 80-95 км составляет в среднем 88 °С. В этом слое атмосферы, как и в более низких, еще доминируют процессы турбулентного перемешивания и за счет этого отсутствуют гравитационное разделение легких и тяжелых газов.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Термосфера</w:t>
      </w:r>
      <w:r>
        <w:rPr>
          <w:sz w:val="24"/>
        </w:rPr>
        <w:t xml:space="preserve"> – слой атмосферы над мезосферой. Температура здесь растет за счет поглощения коротковолнового ультрафиолетового солнечного излучения кислородом, который при этом диссоциирует. Особую роль здесь начинает играть молекулярная диффузия газов в поле тяготения и как результат – значительное изменение с ростом высоты соотношения легких и тяжелых газов. Заметное влияние на термосферу в высоких широтах оказывает и диссипация электромагнитной энергии, связанная со взаимодействием солнечного ветра (потоком плазмы от Солнца) и магнитного поля Земли.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b/>
          <w:sz w:val="24"/>
        </w:rPr>
        <w:t>Экзосфера</w:t>
      </w:r>
      <w:r>
        <w:rPr>
          <w:sz w:val="24"/>
        </w:rPr>
        <w:t xml:space="preserve"> – самый верхний и разряженный слой атмосферы. Плотность газов в этом слое столь мала, что становится возможным «убегание» из атмосферы наиболее легких газов (водорода и гелия), отдельные молекулы которых имеют для этого достаточные скорости в соответствии с распределением Максвелла. Часто с точки зрения особенностей газового состава экзосфера рассматривается как верхняя часть атмосферы. При таком подходе нижняя часть атмосферы, в которой происходит полное турбулентное перемешивание азов и доля основных (О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и </w:t>
      </w:r>
      <w:r>
        <w:rPr>
          <w:sz w:val="24"/>
          <w:lang w:val="en-US"/>
        </w:rPr>
        <w:t>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) не меняется с ростом высоты, называется </w:t>
      </w:r>
      <w:r>
        <w:rPr>
          <w:i/>
          <w:sz w:val="24"/>
        </w:rPr>
        <w:t>гомосферой</w:t>
      </w:r>
      <w:r>
        <w:rPr>
          <w:sz w:val="24"/>
        </w:rPr>
        <w:t xml:space="preserve">. Средняя часть атмосферы, в которой происходит диффузионное разделение газов в поле тяготения и с увеличением высоты начинают доминировать более легкие газы (сначала атомарный кислород, затем гелий и водород), называется </w:t>
      </w:r>
      <w:r>
        <w:rPr>
          <w:i/>
          <w:sz w:val="24"/>
        </w:rPr>
        <w:t>гетеросферой</w:t>
      </w:r>
      <w:r>
        <w:rPr>
          <w:sz w:val="24"/>
        </w:rPr>
        <w:t>.</w:t>
      </w:r>
    </w:p>
    <w:p w:rsidR="002B3660" w:rsidRDefault="002B3660">
      <w:pPr>
        <w:pStyle w:val="a6"/>
      </w:pPr>
      <w:r>
        <w:t>Еще одни важным признаком, по которому в атмосфере выделяются слои, являются заряженные компоненты. Последние по разным причинам присутствуют на всех высотах, обуславливая электропроводимость атмосферы, грозовые и другие явления атмосферного электричества. Но в верхних слоях атмосферы выделяются несколько слоев повышенной концентрации заряженных частиц (которые принято называть ионосферой).</w:t>
      </w:r>
    </w:p>
    <w:p w:rsidR="002B3660" w:rsidRDefault="002B3660">
      <w:pPr>
        <w:pStyle w:val="a6"/>
      </w:pPr>
      <w:r>
        <w:t xml:space="preserve">Главные атмосферные процессы, как внутренние, так и по взаимодействию с внешними факторами, являются признаками, положенными в основу часто употребляемого в литературе деления атмосферы по высоте на нижнюю (тропосферу и стратосферу), среднюю и верхнюю. </w:t>
      </w:r>
    </w:p>
    <w:p w:rsidR="002B3660" w:rsidRDefault="002B3660">
      <w:pPr>
        <w:pStyle w:val="a6"/>
      </w:pPr>
      <w:r>
        <w:t>Наконец, область околоземного пространства, которая под действием магнитного поля Земли обтекается солнечным ветром и имеет несферическую форму, часто рассматривается как продолжение атмосферы и называется магнитосферой Земли.</w:t>
      </w:r>
    </w:p>
    <w:p w:rsidR="002B3660" w:rsidRDefault="002B3660">
      <w:pPr>
        <w:spacing w:line="360" w:lineRule="auto"/>
        <w:jc w:val="both"/>
        <w:rPr>
          <w:sz w:val="24"/>
        </w:rPr>
      </w:pPr>
    </w:p>
    <w:p w:rsidR="002B3660" w:rsidRDefault="002B3660">
      <w:pPr>
        <w:pStyle w:val="1"/>
        <w:jc w:val="center"/>
        <w:rPr>
          <w:rFonts w:ascii="Times New Roman" w:hAnsi="Times New Roman"/>
        </w:rPr>
      </w:pPr>
      <w:bookmarkStart w:id="1" w:name="_Toc472230901"/>
      <w:r>
        <w:rPr>
          <w:rFonts w:ascii="Times New Roman" w:hAnsi="Times New Roman"/>
        </w:rPr>
        <w:t>2. Условия формирования и типы почв</w:t>
      </w:r>
      <w:bookmarkEnd w:id="1"/>
    </w:p>
    <w:p w:rsidR="002B3660" w:rsidRDefault="002B3660">
      <w:pPr>
        <w:pStyle w:val="a5"/>
        <w:spacing w:line="360" w:lineRule="auto"/>
        <w:rPr>
          <w:rFonts w:ascii="Times New Roman" w:hAnsi="Times New Roman"/>
          <w:sz w:val="24"/>
        </w:rPr>
      </w:pP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Почва - особое природное  образование,  сформировавшееся  в результате преобразования горных пород растениями и животными, т.е в результате почвообразовательного  процесса.  Почва обладает особым свойством - плодородием, она служит  основой сельского хозяйства всех стран.  Почва  при  правильной  эксплуатации не только не теряет своих свойств, но и  улучшает их, становится более плодороднее.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Почва - колоссальное  природное  богатство,  обеспечивающий человека продуктами питания, животных - кормами,  а  промышленность сырьем. Веками  и  тысячелетиями  создавалась  она. Чтобы правильно использовать почву, надо знать, как она  образовывалась, ее строение состав и свойства. Почва образовывалась из выходящих на поверхность земли  горных  пород  под влиянием различных факторов. Под действием ветра,  атмосферной влаги, в связи с изменением климата и температурными колебаниями горные породы, например гранит, постепенно трескались и превращались в рухляк. На рухляке поселялись микроорганизмы, питающиеся преимущественно углеродом и  азотом  атмосферы и минеральными соединениями, которые они получали из горной породы. Микроорганизмы разрушали ее своими выделениями, и химический состав горной породы постепенно  изменялся. Затем здесь поселялись лишайники и мхи. Микроорганизмы  разлагали их остатки, образуя гумус - основное органическое вещество почвы, содержащее питательные  вещества,  необходимые высшим растениям.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Животные и растения окончательно разрушали  горную  породу, превращая верхний ее слой в почву.  Растительный опад в лесах  и  отмершая  травянистая  растительность после разложения микроорганизмами дает много органического вещества, увеличивая мощность почвы. Лучшие почвы, влагоемкие и воздухопроницаемые, имеют  мелкокомковатую  или мелкозернистую структуру из комочков диаметром от  1  до  10 мм. От состава и свойств горной породы,  на  которой  формируется почва, в значительной степени зависят состав и  свойства почвы.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Почва состоит из твердой, жидкой, газообразной и живой частей. Твердая часть - это минеральные и органические частицы. Они составляют от 80-98 % почвенной массы и состоят из  песка, глины, илистых частиц, оставшихся от материнской  породы в результате почвообразовательного процесса. Соотношение этих частиц характеризует механический состав почвы.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Жидкая часть почвы, или почвенный раствор вода с  растворенными в ней органическими и минеральными соединениями. Воды в почве содержится от долей процента до 40-60  %.  Жидкая часть участвует в снабжении растений водой  и  растворенными элементами питания.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Газообразная часть, почвенный воздух,  заполняет  поры,  не занятые водой. Почвенный воздух содержит больше  углекислого газа и меньше кислорода, чем атмосферный воздух, а также  метан, летучие органические соединения и др.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Живая часть  почвы  состоит  из  почвенных  микроорганизмов (бактерии, грибы, водоросли, актиномицеты и др.), представителей беспозвоночных (простейших, червей, моллюсков, насекомых и их личинок), роющих позвоночных. Они обитают в  основном в верхних слоях почвы, около корней растений, где  добывают себе пищу. Некоторые  почвенные  организмы  могут  жить только на корнях.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Почва содержит микроэлементы (азот, фосфор, калий, кальций, сера, железо и др.) и микроэлементы (бор,  марганец,  молибден, цинк и др.), которые растения потребляют  в  ограниченных количествах. Их соотношение определяет  химический  состав почвы.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физических свойств почвы наибольшее значение имеет  влагоемкость, водопроницаемсть, скважность.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и свойства почвы  постоянно  меняются  под  влиянием жизнидеятельности, климата, деятельности человека. При  внесении удобрений почва обогащается питательными для  растений веществами, изменяет свои физические свойства.</w:t>
      </w:r>
    </w:p>
    <w:p w:rsidR="002B3660" w:rsidRDefault="002B3660">
      <w:pPr>
        <w:pStyle w:val="a5"/>
        <w:spacing w:line="360" w:lineRule="auto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Неправильная эксплуатация может привести к  нарушению  почвенного покрова - к эрозии почвы,  засолению,  заболачиванию ее.</w:t>
      </w: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Состав почв в значительной степени зависит от материнских пород и отличается большим территориальным разнообразием, что находит отражение в почвенном районировании и классификации почв. Различают, например, </w:t>
      </w:r>
      <w:r>
        <w:rPr>
          <w:rFonts w:ascii="Times New Roman" w:hAnsi="Times New Roman"/>
          <w:i/>
          <w:sz w:val="24"/>
        </w:rPr>
        <w:t>тундровые, глеевые, торфяно-болотные, подзолистые, лугово-черноземные, черноземы, сероземы, аллювиально-дерновые, бурые пустынно-степные, солонцы</w:t>
      </w:r>
      <w:r>
        <w:rPr>
          <w:rFonts w:ascii="Times New Roman" w:hAnsi="Times New Roman"/>
          <w:sz w:val="24"/>
        </w:rPr>
        <w:t xml:space="preserve"> и другие почвы.</w:t>
      </w: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Основные свойства почвы как экологической среды – это ее физическая структура, механический и химический состав, рН и окислительно-восстановительные условия, содержание органических веществ, аэрация, влагоемкость и увлажненость. Различные сочетания этих свойств образуют множество разновидностей почв и разнообразие почвенных условий – эдафических факторов.</w:t>
      </w: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Ниже в таблице приведены данные о почвенных ресурсах планеты, о распространении различных типов почв. Здесь же приведены данные и об их хозяйственном освоении. В зависимости от особенностей структуры, механического и химического состава все типы почв подразделяются на подтипы, роды, виды и разновидности.</w:t>
      </w:r>
    </w:p>
    <w:p w:rsidR="002B3660" w:rsidRDefault="002B3660">
      <w:pPr>
        <w:pStyle w:val="a5"/>
        <w:spacing w:line="36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</w:t>
      </w:r>
    </w:p>
    <w:p w:rsidR="002B3660" w:rsidRDefault="002B3660">
      <w:pPr>
        <w:pStyle w:val="a5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Распространенность основных типов почв мира и степень их освоения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18"/>
        <w:gridCol w:w="1275"/>
        <w:gridCol w:w="1239"/>
      </w:tblGrid>
      <w:tr w:rsidR="002B3660">
        <w:trPr>
          <w:cantSplit/>
        </w:trPr>
        <w:tc>
          <w:tcPr>
            <w:tcW w:w="5920" w:type="dxa"/>
            <w:vMerge w:val="restart"/>
            <w:vAlign w:val="center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Географические пояса и типы почв</w:t>
            </w:r>
          </w:p>
        </w:tc>
        <w:tc>
          <w:tcPr>
            <w:tcW w:w="2693" w:type="dxa"/>
            <w:gridSpan w:val="2"/>
            <w:vAlign w:val="center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Общая площадь</w:t>
            </w:r>
          </w:p>
        </w:tc>
        <w:tc>
          <w:tcPr>
            <w:tcW w:w="1239" w:type="dxa"/>
            <w:vMerge w:val="restart"/>
            <w:vAlign w:val="center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Процент освоения</w:t>
            </w:r>
          </w:p>
        </w:tc>
      </w:tr>
      <w:tr w:rsidR="002B3660">
        <w:trPr>
          <w:cantSplit/>
        </w:trPr>
        <w:tc>
          <w:tcPr>
            <w:tcW w:w="5920" w:type="dxa"/>
            <w:vMerge/>
          </w:tcPr>
          <w:p w:rsidR="002B3660" w:rsidRDefault="002B3660">
            <w:pPr>
              <w:pStyle w:val="a5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</w:rPr>
              <w:t>млн. км</w:t>
            </w:r>
            <w:r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275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</w:tc>
        <w:tc>
          <w:tcPr>
            <w:tcW w:w="1239" w:type="dxa"/>
            <w:vMerge/>
          </w:tcPr>
          <w:p w:rsidR="002B3660" w:rsidRDefault="002B3660">
            <w:pPr>
              <w:pStyle w:val="a5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2B3660">
        <w:tc>
          <w:tcPr>
            <w:tcW w:w="5920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9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B3660">
        <w:trPr>
          <w:cantSplit/>
        </w:trPr>
        <w:tc>
          <w:tcPr>
            <w:tcW w:w="9852" w:type="dxa"/>
            <w:gridSpan w:val="4"/>
            <w:tcBorders>
              <w:bottom w:val="nil"/>
            </w:tcBorders>
          </w:tcPr>
          <w:p w:rsidR="002B3660" w:rsidRDefault="002B3660">
            <w:pPr>
              <w:pStyle w:val="a5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Тропический пояс</w:t>
            </w:r>
          </w:p>
        </w:tc>
      </w:tr>
      <w:tr w:rsidR="002B3660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дождевых лесов – красные и желтые ферралитные почвы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7,4</w:t>
            </w:r>
          </w:p>
        </w:tc>
      </w:tr>
      <w:tr w:rsidR="002B3660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сезонно-влажных ландшафтов – красные саванновые, черные слитые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12,6</w:t>
            </w:r>
          </w:p>
        </w:tc>
      </w:tr>
      <w:tr w:rsidR="002B3660">
        <w:tc>
          <w:tcPr>
            <w:tcW w:w="5920" w:type="dxa"/>
            <w:tcBorders>
              <w:top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полупустынь и пустынь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12,8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9,6</w:t>
            </w:r>
          </w:p>
        </w:tc>
        <w:tc>
          <w:tcPr>
            <w:tcW w:w="1239" w:type="dxa"/>
            <w:tcBorders>
              <w:top w:val="nil"/>
              <w:lef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</w:tr>
      <w:tr w:rsidR="002B3660">
        <w:trPr>
          <w:cantSplit/>
        </w:trPr>
        <w:tc>
          <w:tcPr>
            <w:tcW w:w="9852" w:type="dxa"/>
            <w:gridSpan w:val="4"/>
            <w:tcBorders>
              <w:bottom w:val="nil"/>
            </w:tcBorders>
          </w:tcPr>
          <w:p w:rsidR="002B3660" w:rsidRDefault="002B3660">
            <w:pPr>
              <w:pStyle w:val="a5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Субтропический пояс</w:t>
            </w:r>
          </w:p>
        </w:tc>
      </w:tr>
      <w:tr w:rsidR="002B3660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постоянно влажных лесов – красноземы, желтоземы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19,7</w:t>
            </w:r>
          </w:p>
        </w:tc>
      </w:tr>
      <w:tr w:rsidR="002B3660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сезонно-влажных ландшафтов – коричневые и др.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25,6</w:t>
            </w:r>
          </w:p>
        </w:tc>
      </w:tr>
      <w:tr w:rsidR="002B3660">
        <w:tc>
          <w:tcPr>
            <w:tcW w:w="5920" w:type="dxa"/>
            <w:tcBorders>
              <w:top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полупустынь и пустынь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10,6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1239" w:type="dxa"/>
            <w:tcBorders>
              <w:top w:val="nil"/>
              <w:lef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7,6</w:t>
            </w:r>
          </w:p>
        </w:tc>
      </w:tr>
    </w:tbl>
    <w:p w:rsidR="002B3660" w:rsidRDefault="002B3660">
      <w:pPr>
        <w:pStyle w:val="a9"/>
      </w:pPr>
      <w:r>
        <w:t>Продолжение таблицы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418"/>
        <w:gridCol w:w="1275"/>
        <w:gridCol w:w="1239"/>
      </w:tblGrid>
      <w:tr w:rsidR="002B3660">
        <w:tc>
          <w:tcPr>
            <w:tcW w:w="5920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9" w:type="dxa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2B3660">
        <w:trPr>
          <w:cantSplit/>
        </w:trPr>
        <w:tc>
          <w:tcPr>
            <w:tcW w:w="9852" w:type="dxa"/>
            <w:gridSpan w:val="4"/>
            <w:tcBorders>
              <w:bottom w:val="nil"/>
            </w:tcBorders>
          </w:tcPr>
          <w:p w:rsidR="002B3660" w:rsidRDefault="002B3660">
            <w:pPr>
              <w:pStyle w:val="a5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Суббореальный пояс</w:t>
            </w:r>
          </w:p>
        </w:tc>
      </w:tr>
      <w:tr w:rsidR="002B3660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лиственных лесов и прерий – бурые лесные и др.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33,4</w:t>
            </w:r>
          </w:p>
        </w:tc>
      </w:tr>
      <w:tr w:rsidR="002B3660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степных ландшафтов – черноземы, каштановые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31,6</w:t>
            </w:r>
          </w:p>
        </w:tc>
      </w:tr>
      <w:tr w:rsidR="002B3660">
        <w:tc>
          <w:tcPr>
            <w:tcW w:w="5920" w:type="dxa"/>
            <w:tcBorders>
              <w:top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полупустынь и пустынь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5,9</w:t>
            </w:r>
          </w:p>
        </w:tc>
        <w:tc>
          <w:tcPr>
            <w:tcW w:w="1239" w:type="dxa"/>
            <w:tcBorders>
              <w:top w:val="nil"/>
              <w:lef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1,3</w:t>
            </w:r>
          </w:p>
        </w:tc>
      </w:tr>
      <w:tr w:rsidR="002B3660">
        <w:trPr>
          <w:cantSplit/>
        </w:trPr>
        <w:tc>
          <w:tcPr>
            <w:tcW w:w="9852" w:type="dxa"/>
            <w:gridSpan w:val="4"/>
            <w:tcBorders>
              <w:bottom w:val="nil"/>
            </w:tcBorders>
          </w:tcPr>
          <w:p w:rsidR="002B3660" w:rsidRDefault="002B3660">
            <w:pPr>
              <w:pStyle w:val="a5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Бореальный пояс</w:t>
            </w:r>
          </w:p>
        </w:tc>
      </w:tr>
      <w:tr w:rsidR="002B3660">
        <w:tc>
          <w:tcPr>
            <w:tcW w:w="5920" w:type="dxa"/>
            <w:tcBorders>
              <w:top w:val="nil"/>
              <w:bottom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хвойных и смешанных лесов – подзолистые, дерново-подзолистые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11,6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8,4</w:t>
            </w:r>
          </w:p>
        </w:tc>
      </w:tr>
      <w:tr w:rsidR="002B3660">
        <w:tc>
          <w:tcPr>
            <w:tcW w:w="5920" w:type="dxa"/>
            <w:tcBorders>
              <w:top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мерзлотно-таежных ландшафтов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6,1</w:t>
            </w:r>
          </w:p>
        </w:tc>
        <w:tc>
          <w:tcPr>
            <w:tcW w:w="1239" w:type="dxa"/>
            <w:tcBorders>
              <w:top w:val="nil"/>
              <w:lef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2B3660">
        <w:trPr>
          <w:cantSplit/>
        </w:trPr>
        <w:tc>
          <w:tcPr>
            <w:tcW w:w="9852" w:type="dxa"/>
            <w:gridSpan w:val="4"/>
            <w:tcBorders>
              <w:bottom w:val="nil"/>
            </w:tcBorders>
          </w:tcPr>
          <w:p w:rsidR="002B3660" w:rsidRDefault="002B3660">
            <w:pPr>
              <w:pStyle w:val="a5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Полярный пояс</w:t>
            </w:r>
          </w:p>
        </w:tc>
      </w:tr>
      <w:tr w:rsidR="002B3660">
        <w:tc>
          <w:tcPr>
            <w:tcW w:w="5920" w:type="dxa"/>
            <w:tcBorders>
              <w:top w:val="nil"/>
              <w:right w:val="nil"/>
            </w:tcBorders>
          </w:tcPr>
          <w:p w:rsidR="002B3660" w:rsidRDefault="002B3660">
            <w:pPr>
              <w:pStyle w:val="a5"/>
              <w:spacing w:line="360" w:lineRule="auto"/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Почвы тундровых и арктических ландшафтов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4,3</w:t>
            </w:r>
          </w:p>
        </w:tc>
        <w:tc>
          <w:tcPr>
            <w:tcW w:w="1239" w:type="dxa"/>
            <w:tcBorders>
              <w:top w:val="nil"/>
              <w:left w:val="nil"/>
            </w:tcBorders>
            <w:vAlign w:val="bottom"/>
          </w:tcPr>
          <w:p w:rsidR="002B3660" w:rsidRDefault="002B3660">
            <w:pPr>
              <w:pStyle w:val="a5"/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2B3660" w:rsidRDefault="002B3660">
      <w:pPr>
        <w:pStyle w:val="a5"/>
        <w:spacing w:line="360" w:lineRule="auto"/>
        <w:rPr>
          <w:rFonts w:ascii="Times New Roman" w:hAnsi="Times New Roman"/>
          <w:sz w:val="24"/>
        </w:rPr>
      </w:pP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Сейчас на Земле по распространенности ведущее положение занимают четыре типологические группы почв:</w:t>
      </w: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1) </w:t>
      </w:r>
      <w:r>
        <w:rPr>
          <w:rFonts w:ascii="Times New Roman" w:hAnsi="Times New Roman"/>
          <w:i/>
          <w:sz w:val="24"/>
        </w:rPr>
        <w:t>почвы влажных тропиков и субтропиков</w:t>
      </w:r>
      <w:r>
        <w:rPr>
          <w:rFonts w:ascii="Times New Roman" w:hAnsi="Times New Roman"/>
          <w:sz w:val="24"/>
        </w:rPr>
        <w:t>, преимущественно красноземы и желтоземы, для которых характерны богатство минерального состава и большая подвижность органики (более 32 млн. км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);</w:t>
      </w: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2) </w:t>
      </w:r>
      <w:r>
        <w:rPr>
          <w:rFonts w:ascii="Times New Roman" w:hAnsi="Times New Roman"/>
          <w:i/>
          <w:sz w:val="24"/>
        </w:rPr>
        <w:t>плодородные почвы саванн и степеней</w:t>
      </w:r>
      <w:r>
        <w:rPr>
          <w:rFonts w:ascii="Times New Roman" w:hAnsi="Times New Roman"/>
          <w:sz w:val="24"/>
        </w:rPr>
        <w:t xml:space="preserve"> – черноземы, каштановые и коричневые почвы с мощным гумусовым слоем (более 32 млн. км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);</w:t>
      </w: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3) </w:t>
      </w:r>
      <w:r>
        <w:rPr>
          <w:rFonts w:ascii="Times New Roman" w:hAnsi="Times New Roman"/>
          <w:i/>
          <w:sz w:val="24"/>
        </w:rPr>
        <w:t>скудные и крайне неустойчивые почвы пустынь и полупустынь</w:t>
      </w:r>
      <w:r>
        <w:rPr>
          <w:rFonts w:ascii="Times New Roman" w:hAnsi="Times New Roman"/>
          <w:sz w:val="24"/>
        </w:rPr>
        <w:t>, относящиеся к разным климатическим зонам (более 30 млн. км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);</w:t>
      </w:r>
    </w:p>
    <w:p w:rsidR="002B3660" w:rsidRDefault="002B3660">
      <w:pPr>
        <w:pStyle w:val="a5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4) </w:t>
      </w:r>
      <w:r>
        <w:rPr>
          <w:rFonts w:ascii="Times New Roman" w:hAnsi="Times New Roman"/>
          <w:i/>
          <w:sz w:val="24"/>
        </w:rPr>
        <w:t>относительно бедные почвы лесов умеренного пояса</w:t>
      </w:r>
      <w:r>
        <w:rPr>
          <w:rFonts w:ascii="Times New Roman" w:hAnsi="Times New Roman"/>
          <w:sz w:val="24"/>
        </w:rPr>
        <w:t xml:space="preserve"> – подзолистые, бурые и серые лесные почвы (более 20 млн. км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).</w:t>
      </w:r>
    </w:p>
    <w:p w:rsidR="002B3660" w:rsidRDefault="002B3660">
      <w:pPr>
        <w:pStyle w:val="a5"/>
        <w:spacing w:line="360" w:lineRule="auto"/>
        <w:rPr>
          <w:rFonts w:ascii="Times New Roman" w:hAnsi="Times New Roman"/>
          <w:sz w:val="24"/>
        </w:rPr>
      </w:pPr>
    </w:p>
    <w:p w:rsidR="002B3660" w:rsidRDefault="002B3660">
      <w:pPr>
        <w:pStyle w:val="1"/>
        <w:jc w:val="center"/>
        <w:rPr>
          <w:rFonts w:ascii="Times New Roman" w:hAnsi="Times New Roman"/>
        </w:rPr>
      </w:pPr>
      <w:bookmarkStart w:id="2" w:name="_Toc472230902"/>
      <w:r>
        <w:rPr>
          <w:rFonts w:ascii="Times New Roman" w:hAnsi="Times New Roman"/>
        </w:rPr>
        <w:t>3. Геофизические и магнитные факторы воздействия на биосферу</w:t>
      </w:r>
      <w:bookmarkEnd w:id="2"/>
    </w:p>
    <w:p w:rsidR="002B3660" w:rsidRDefault="002B3660">
      <w:pPr>
        <w:jc w:val="both"/>
        <w:rPr>
          <w:sz w:val="28"/>
        </w:rPr>
      </w:pPr>
      <w:r>
        <w:t xml:space="preserve"> </w:t>
      </w:r>
    </w:p>
    <w:p w:rsidR="002B3660" w:rsidRDefault="002B3660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Биосфера – это совокупность частей земных оболочек (лито-, гидро- и атмосферы), которая заселена живыми организмами, находится под их воздействием и занята продуктами их жизнедеятельности.</w:t>
      </w:r>
    </w:p>
    <w:p w:rsidR="002B3660" w:rsidRDefault="002B3660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Биосфера –  глобальная экосистема. Она не образует сплошного слоя с четкими границами, а как бы «пропитывает» другие геосферы планеты, охватывая всю гидросферу, верхнюю часть литосферы и нижнюю часть атмосферы. Термин «биосфера» ввел австрийский геолог Э. Зюсс (1873). Развернутое развитие учения о биосфере принадлежит В.И. Вернадскому (1919, 1926).</w:t>
      </w:r>
    </w:p>
    <w:p w:rsidR="002B3660" w:rsidRDefault="002B3660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Поток солнечной энергии образует глобальные физические круговороты воздуха и воды на Земле. Движение воздушных масс помимо механических эффектов (ветры, волны, течения) обуславливает аэрогенную миграцию веществ, в первую очередь паров воды и пылевых частиц, аэрозолей разного состава. Под действием солнечной радиации в атмосфере происходят различные фотохимические реакции – фотолиз воды, образование озона, образование углеводородных смогов и др.</w:t>
      </w:r>
    </w:p>
    <w:p w:rsidR="002B3660" w:rsidRDefault="002B3660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Глобальный круговорот воды – это самый значительный по переносимым массам и по затратам энергии круговорот на Земле. Круговорот воды, особенно поверхностный, и подземный сток на суше определяют гидрогенную миграцию веществ, которая помимо переноса состоит из множества процессов растворения, ионного обмена, окислительно-восстановительных реакций, кристаллизации, осаждения и т.д.</w:t>
      </w:r>
    </w:p>
    <w:p w:rsidR="002B3660" w:rsidRDefault="002B3660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Таким образом, кроме физических круговоротов воды и воздуха, вызываемых потоком солнечной энергии, в них вовлечены еще и физико-химические круговороты многих химических элементов и их соединений. В значительной части этих процессов участвуют живые организмы. Особенно характерно это для аквальных систем – рек, озер, болот, морей.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Итак все вещества на планете Земля находятся в процессе биохимического круговорота. Выделяют два основных круговорота: большой (геологический) и малый (биотический).</w:t>
      </w:r>
    </w:p>
    <w:p w:rsidR="002B3660" w:rsidRDefault="002B3660">
      <w:pPr>
        <w:pStyle w:val="21"/>
        <w:rPr>
          <w:sz w:val="24"/>
        </w:rPr>
      </w:pPr>
      <w:r>
        <w:rPr>
          <w:sz w:val="24"/>
        </w:rPr>
        <w:t>Большой круговорот длится миллионы лет. Горны породы разрушаются, выветриваются и потоками вод сносят в Мировой океан, где образуются мощные морские напластования. Часть химических соединений растворяется в воде или потребляется биоценозом. Крупные медленные геоктонические изменения, процессы, связанные с опусканием материков и поднятием морского дна, перемещение морей и океанов в течение длительного времени приводят к тому, что эти напластования возвращаются на сушу и процесс начинается вновь.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Малый круговорот, являясь частью большого, происходит на уровне биогеоценоза и заключается в том, что питательные вещества почвы, воды, воздуха аккумулируются в растениях, расходуются на создание их массы и жизненные процессы в них. Продукты распада органического вещества под воздействием бактерий вновь разлагаются до минеральных компонентов, доступных растениям, и вовлекаются ими в поток вещества.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Возврат химических веществ из неорганической среды через растительные и животные организмы обратно в неорганическую среду с использованием солнечной энергии и химических реакция называется биохимическим циклом.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круговороте веществ участвуют три группы организмов: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Продуценты (производители) – автотрофные организмы и зеленые растения, которые используя солнечную энергию, создают первичную продукцию живого вещества.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Консументы (потребители) – гетеротрофные организмы, питающиеся за счет автотрофных и друг друга.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Редуценты (восстановители) – организмы, питающиеся организмами, бактериями и грибками.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Круговорот энергии связан с круговоротом веществ. Наиболее характерен для процессов, происходящих в биосфере, круговорот углерода. Соединения углерода образуются, изменяются и разрушаются. Основной путь углерода – от углекислого газа в живое существо и обратно. Часть углерода выходит из круговорота, отлагаясь в осадочных породах океана или в ископаемых горючих веществах органического происхождения (торф, каменный уголь, нефть, горючие газы), где уже аккумулирована его основная масса. Этот углерод принимает участие в медленном геологическом круговороте.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Обмен углекислым газом происходит также между атмосферой и океаном. 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Важную роль в биосферных процессах играет круговорота азота. В них участвует только азот, входящий в определенные химические соединения.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Фиксация его в химических соединениях происходит при вулканической деятельности, при грозовых разрядах в атмосфере в процессе ее ионизации, при сгорании материалов. Определяющее значение в фиксации азота имеют микроорганизмы.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Одним из важных элементов биосферы является фосфор, входящий в состав нуклеиновых кислот, клеточных мембран, костной ткани. Фосфор также участвует в малом и большом круговоротах, усваивается растениями.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Ключевым элементом биосферы является вода. Круговорот воды происходит путем испарения ее с поверхности водоемов и суши в атмосферу, а затем переносится воздушными массами, конденсируется и выпадает и виде осадков.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Средняя продолжительность общего цикла обмена углерода, азота и воды, вовлеченных биологический круговорот – 300-400 лет. В соответствии с этой скоростью освобождаются минеральные соединения, связанные в биомассе. Освобождаются и минерализуются вещества гумуса почвы.</w:t>
      </w:r>
    </w:p>
    <w:p w:rsidR="002B3660" w:rsidRDefault="002B3660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Круговорот веществ в природе подразумевает общую согласованность места, времени и скорости процессов по уровням от популяции до биосферы. Такую согласованность явлений природы называют экологическим равновесием, но это равновесие подвижно и динамично.</w:t>
      </w:r>
    </w:p>
    <w:p w:rsidR="002B3660" w:rsidRDefault="002B3660">
      <w:pPr>
        <w:jc w:val="both"/>
        <w:rPr>
          <w:i/>
          <w:sz w:val="28"/>
        </w:rPr>
      </w:pPr>
    </w:p>
    <w:p w:rsidR="002B3660" w:rsidRDefault="002B3660">
      <w:pPr>
        <w:jc w:val="both"/>
        <w:rPr>
          <w:i/>
          <w:sz w:val="28"/>
        </w:rPr>
      </w:pPr>
    </w:p>
    <w:p w:rsidR="002B3660" w:rsidRDefault="002B3660">
      <w:pPr>
        <w:pStyle w:val="1"/>
        <w:jc w:val="center"/>
        <w:rPr>
          <w:rFonts w:ascii="Times New Roman" w:hAnsi="Times New Roman"/>
        </w:rPr>
      </w:pPr>
      <w:bookmarkStart w:id="3" w:name="_Toc472230903"/>
      <w:r>
        <w:rPr>
          <w:rFonts w:ascii="Times New Roman" w:hAnsi="Times New Roman"/>
        </w:rPr>
        <w:t>4. Основные направления развития современной атомной энергетики</w:t>
      </w:r>
      <w:bookmarkEnd w:id="3"/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АЭС следующего поколения должны отвечать двум основным требованиям: радикально повышать безопасность и одновременно сохранять достигнутый уровень экономичности ядерной энергетики.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начале 60-х гг. в США была принята ориентация на то, что технологические процессы, связанные с получением атомной энергии, должны быть более безопасны, чем любая другая технология, а дополнительный риск от использования атомный энергии не должен превышать 0,1 % суммарного риска от всех других технологий и природных явлений. Само понятие безопасности носит несколько абстрактный характер и зависит от времени. В разные периоды развития общества одни и те же технологические процессы считались то совершенно безопасными, то потенциально опасными.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Если общественное мнение до Чернобыля было настроено на понятие о полной безопасности ядерной энергетики, то сейчас наоборот, понятие об опасности ядерной энергетики сильно преувеличено.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Безопасный реактор сегодняшнего дня – это реактор традиционного типа, усовершенствование которого было направлено на снижение вероятности больших аварий путем наращивания инженерных систем и усиления требований к оборудованию и обслуживающему персоналу.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Большинство широкоиспользуемых сейчас типов ядерных реакторов не смогут стать основой ядерной энергетики </w:t>
      </w:r>
      <w:r>
        <w:rPr>
          <w:rFonts w:ascii="Times New Roman" w:hAnsi="Times New Roman"/>
          <w:lang w:val="en-US"/>
        </w:rPr>
        <w:t xml:space="preserve">XXI </w:t>
      </w:r>
      <w:r>
        <w:rPr>
          <w:rFonts w:ascii="Times New Roman" w:hAnsi="Times New Roman"/>
        </w:rPr>
        <w:t>века. Первое требование к реакторам нового поколения – это полное исключение аварий с опасными выбросами радиоактивности. Для перехода на этот новый уровень безопасности в современных реакторах нового поколения все больше используется элементы внутренне присущей безопасности, основанной на использовании естественных законов природы. Привлекательность использования естественных законов в концепции безопасности – постоянство их действия, независимость от внешних факторов.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Низкая вероятность аварии гарантируется особыми свойствами топлива, теплоносителя, материалов и всей конструкции реактора в целом. Такие свойства должны обеспечивать саморегулирование интенсивности цепной реакции при любых изменениях в активной зоне, безопасной отвод тепла.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Внутренняя устойчивость базируется на отрицательной обратной связи по температуре и по мощности и применении пассивных (не требует подвода энергии и управления извне) систем теплоотвода и остановки реактора. В основу функционирования пассивных систем положены законы, описывающие такие физические явления, как гравитация, естественная циркуляция, испарение.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Реактор, построенный на этих принципах, можно называть самозащищенным.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Самозащищенность делает реактор нового поколения принципиально отличным от Чернобыльского, поскольку одной из основных причин Чернобыльской аварии была положительная обратная связь по мощности, в результате чего реактор в аварии саморазгонялся. То есть физические свойства Чернобыльского реактора усугубили ошибки операторов, что привело к тяжелейшим последствиям. После Чернобыльской аварии на АЭС с реакторами РБМК был осуществлен ряд мероприятий, позволявших уменьшить негативное влияние недостатков конструкции реактора и повысить уровень безопасности его эксплуатации.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 водо-водяном реакторе при повышении мощности, температуры или появлении пара количество замедлителя в зоне реакции сокращается, происходит самоглушение реактора. Мощность находится под самоконтролем. При увеличении мощности  в таком реакторе происходит увеличение температуры и рост мощности останавливается без всякого вмешательство персонала. При появлении пара происходит самоглушение реактора. Реактор может быть сравним с тяжелой вагонеткой, которую бесплодно пытаются разогнать в гору.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Концепция внутренней самозащищенности означает, что в случае многочисленных отказов оборудования и ошибок персонала реактор полностью предоставленный самому себе, за счет присущих ему внутренних свойств препятствует, ограничивает или полностью прекращает развитие аварии. Теплоотвод от активной зоны в нормальных и аварийных условиях обеспечен самоциркуляцией теплоносителя в реакторе, которая ни при каких условиях не прекращается.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Главное направление усовершенствований безопасности атомных станций нового поколения –развития защиты в глубину. Концепция защиты в глубину предполагает использование нескольких последовательных уровней защиты, включающих независимые физические барьеры для предотвращения выхода радиоактивных продуктов в окружающую среду.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Принцип многобарьерности защиты, реализованный в водо-водяных реакторах прежних поколений, показал ее высокую эффективность. Пример тому авария на американской АЭС «Три-Майкл-Айленд», где, несмотря на разрушение нескольких защитных барьеров и расплавление топлива, благодаря оставшимся защитным барьерам радиационные последствия аварии были вдвое меньше уровня естественного фона.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Принцип внутренней самозащищенности реакторной установки и пассивные системы безопасности впервые в мире реализованы на практике в реакторах атомной станции теплоснабжения АСТ-500.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Дальнейшее развитие философии безопасности АСТ-500 нашло свое отражение в реакторной установке для атомных электрических станций нового поколения ВПБЭР-600, в установках для комбинированной выработки низкопотенциального тепа и электрической энергии АТЭЦ-150, АТЭЦ-200, ВК-300, ВК-400, а также в ряде других проектов.</w:t>
      </w:r>
    </w:p>
    <w:p w:rsidR="002B3660" w:rsidRDefault="002B3660">
      <w:pPr>
        <w:pStyle w:val="a4"/>
        <w:spacing w:line="360" w:lineRule="auto"/>
        <w:ind w:firstLine="709"/>
        <w:rPr>
          <w:rFonts w:ascii="Times New Roman" w:hAnsi="Times New Roman"/>
        </w:rPr>
      </w:pPr>
    </w:p>
    <w:p w:rsidR="002B3660" w:rsidRDefault="002B3660">
      <w:pPr>
        <w:pStyle w:val="1"/>
        <w:jc w:val="center"/>
        <w:rPr>
          <w:rFonts w:ascii="Times New Roman" w:hAnsi="Times New Roman"/>
        </w:rPr>
      </w:pPr>
      <w:bookmarkStart w:id="4" w:name="_Toc472230904"/>
      <w:r>
        <w:rPr>
          <w:rFonts w:ascii="Times New Roman" w:hAnsi="Times New Roman"/>
        </w:rPr>
        <w:t>5. Загрязнение городских территорий</w:t>
      </w:r>
      <w:bookmarkEnd w:id="4"/>
    </w:p>
    <w:p w:rsidR="002B3660" w:rsidRDefault="002B3660">
      <w:pPr>
        <w:spacing w:line="360" w:lineRule="auto"/>
        <w:rPr>
          <w:sz w:val="24"/>
        </w:rPr>
      </w:pPr>
    </w:p>
    <w:p w:rsidR="002B3660" w:rsidRDefault="002B3660">
      <w:pPr>
        <w:pStyle w:val="3"/>
        <w:spacing w:before="0" w:after="0" w:line="360" w:lineRule="auto"/>
        <w:ind w:firstLine="709"/>
        <w:rPr>
          <w:sz w:val="24"/>
        </w:rPr>
      </w:pPr>
      <w:bookmarkStart w:id="5" w:name="_Toc405042488"/>
      <w:bookmarkStart w:id="6" w:name="_Toc472230905"/>
      <w:r>
        <w:rPr>
          <w:sz w:val="24"/>
        </w:rPr>
        <w:t>Общие экологические проблемы городов мира</w:t>
      </w:r>
      <w:bookmarkEnd w:id="5"/>
      <w:bookmarkEnd w:id="6"/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Экологические проблемы городов, главным образом наиболее крупных из них, связаны с чрезмерной концентрацией на сравнительно небольших территориях населения, транспорта и промышленных предприятий, с образованием антропогенных ландшафтов, очень далеких от состояния экологического равновесия.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Темпы роста населения мира в 1.5-2.0 раза ниже роста городского населения, к которому сегодня относится 40% людей планеты. За период 1939 – 1979 гг. население крупных городов выросло в 4, в средних – в 3 и малых – в 2 раза.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Социально-экономическая обстановка привела к неуправляемости процесса урбанизации во многих странах. Процент городского населения в отдельных странах равен: Аргентина – 83, Уругвай – 82, Австралия – 75, США – 80, Япония – 76, Германия – 90, Швеция – 83. Помимо крупных городов-миллионеров быстро растут городские агломерации или слившиеся города. Таковы Вашингтон-Бостон и Лос-Анжелес-Сан-Франциско в США; города Рура в Германии; Москва, Донбасс и Кузбасс в СНГ.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Круговорот вещества и энергии в городах значительно превосходит таковой в сельской местности. Средняя плотность естественного потока энергии Земли – 180 Вт/м</w:t>
      </w:r>
      <w:r>
        <w:rPr>
          <w:position w:val="6"/>
          <w:sz w:val="24"/>
        </w:rPr>
        <w:t>2</w:t>
      </w:r>
      <w:r>
        <w:rPr>
          <w:sz w:val="24"/>
        </w:rPr>
        <w:t>, доля антропогенной энергии в нем – 0.1 Вт/м</w:t>
      </w:r>
      <w:r>
        <w:rPr>
          <w:position w:val="6"/>
          <w:sz w:val="24"/>
        </w:rPr>
        <w:t>2</w:t>
      </w:r>
      <w:r>
        <w:rPr>
          <w:sz w:val="24"/>
        </w:rPr>
        <w:t>. В городах она возрастает до 30-40 и даже до 150 Вт/м</w:t>
      </w:r>
      <w:r>
        <w:rPr>
          <w:position w:val="6"/>
          <w:sz w:val="24"/>
        </w:rPr>
        <w:t>2</w:t>
      </w:r>
      <w:r>
        <w:rPr>
          <w:sz w:val="24"/>
        </w:rPr>
        <w:t xml:space="preserve"> (Манхэттен).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Над крупными городами атмосфера содержит в 10 раз больше аэрозолей и в 25 раз больше газов. При этом 60-70% газового загрязнения дает автомобильный транспорт. Более активная конденсация влаги приводит к увеличению осадков на 5-10%. Самоочищению атмосферы препятствует снижение на 10-20% солнечной радиации и скорости ветра.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При малой подвижности воздуха тепловые аномалии над городом охватывают слои атмосферы в 250-400 м, а контрасты температуры могут достигать 5-6</w:t>
      </w:r>
      <w:r>
        <w:rPr>
          <w:position w:val="6"/>
          <w:sz w:val="24"/>
        </w:rPr>
        <w:sym w:font="Symbol" w:char="F0B0"/>
      </w:r>
      <w:r>
        <w:rPr>
          <w:sz w:val="24"/>
        </w:rPr>
        <w:t>С. С ними связаны температурные инверсии, приводящие к повышенному загрязнению, туманам и смогу.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Города потребляют в 10 и более раз больше воды в расчете на 1 человека, чем сельские районы, а загрязнение водоемов достигает катастрофических размеров. Объемы сточных вод достигают 1м</w:t>
      </w:r>
      <w:r>
        <w:rPr>
          <w:position w:val="6"/>
          <w:sz w:val="24"/>
        </w:rPr>
        <w:t>2</w:t>
      </w:r>
      <w:r>
        <w:rPr>
          <w:sz w:val="24"/>
        </w:rPr>
        <w:t xml:space="preserve"> в сутки на одного человека. Поэтому практически все крупные города испытывают дефицит водных ресурсов и многие из них получают воду из удаленных источников.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Водоносные горизонты под городами сильно истощены в результате непрерывных откачек скважинами и колодцами, а кроме того загрязнены на значительную глубину.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Коренному преобразованию подвергается и почвенный покров городских территорий. На больших площадях, под магистралями и кварталами, он физически уничтожается, а в зонах рекреаций – парки, скверы, дворы – сильно уничтожается, загрязняется бытовыми отходами, вредными веществами из атмосферы, обогащается тяжелыми металлами, обнаженность почв способствует водной и ветровой эрозии.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Растительный покров городов обычно практически полностью представлен “культурными насаждениями” – парками, скверами, газонами, цветниками, аллеями. Структура антропогенных фитоценозов не соответствует зональным и региональным типам естественной растительности. Поэтому развитие зеленых насаждений городов протекает в искусственных условиях, постоянно поддерживается человеком. Многолетние растения в городах развиваются в условиях сильного угнетения.</w:t>
      </w:r>
    </w:p>
    <w:p w:rsidR="002B3660" w:rsidRDefault="002B3660">
      <w:pPr>
        <w:spacing w:line="360" w:lineRule="auto"/>
        <w:ind w:firstLine="709"/>
        <w:jc w:val="both"/>
        <w:rPr>
          <w:sz w:val="24"/>
        </w:rPr>
      </w:pPr>
    </w:p>
    <w:p w:rsidR="002B3660" w:rsidRDefault="002B3660">
      <w:pPr>
        <w:pStyle w:val="3"/>
        <w:spacing w:before="0" w:after="0" w:line="360" w:lineRule="auto"/>
        <w:ind w:firstLine="709"/>
        <w:rPr>
          <w:sz w:val="24"/>
        </w:rPr>
      </w:pPr>
      <w:bookmarkStart w:id="7" w:name="_Toc472230906"/>
      <w:r>
        <w:rPr>
          <w:sz w:val="24"/>
        </w:rPr>
        <w:t>Электромагнитные загрязнения</w:t>
      </w:r>
      <w:bookmarkEnd w:id="7"/>
    </w:p>
    <w:p w:rsidR="002B3660" w:rsidRDefault="002B3660">
      <w:pPr>
        <w:spacing w:line="360" w:lineRule="auto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настоящее время остаются актуальными вопросы влияния на здоровье населения и окружающую природную среду электромагнитных излучений (ЭМИ). Наиболее мощными источниками ЭМИ являются теле- и радиостанции, радиолокационные установки, линии электропередач сверх- и ультравысокого напряжения.</w:t>
      </w:r>
    </w:p>
    <w:p w:rsidR="002B3660" w:rsidRDefault="002B3660">
      <w:pPr>
        <w:spacing w:line="360" w:lineRule="auto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Повышения радиофона наблюдается в районах аэропортов и прилегающих к ним территорий, где уровни ЭМИ превышают допустимые санитарные нормы. Особенно высокие уровни ЭМИ от мечены в жилых районах городов, аэропорты которых расположены в городской черте (Иркутск, Сочи, Сыктывкар, Ростов-на-Дону и др.)</w:t>
      </w:r>
    </w:p>
    <w:p w:rsidR="002B3660" w:rsidRDefault="002B3660">
      <w:pPr>
        <w:spacing w:line="360" w:lineRule="auto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 ряде регионов регистрируются значительные уровни ЭМИ от военных радиотехнических объектов. Так, неблагополучная обстановка от уровня ЭМИ отмечается в Архангельской области, Ставропольском и Красноярских краях и др.</w:t>
      </w:r>
    </w:p>
    <w:p w:rsidR="002B3660" w:rsidRDefault="002B3660">
      <w:pPr>
        <w:spacing w:line="360" w:lineRule="auto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Плотность потока мощности электромагнитных полей радиорелейных линий связи аэропортов достигает 1 мВТ/см</w:t>
      </w:r>
      <w:r>
        <w:rPr>
          <w:snapToGrid w:val="0"/>
          <w:sz w:val="24"/>
          <w:vertAlign w:val="superscript"/>
        </w:rPr>
        <w:t>2</w:t>
      </w:r>
      <w:r>
        <w:rPr>
          <w:snapToGrid w:val="0"/>
          <w:sz w:val="24"/>
        </w:rPr>
        <w:t>, а военных объектов зачастую превышает 10 мВТ/см</w:t>
      </w:r>
      <w:r>
        <w:rPr>
          <w:snapToGrid w:val="0"/>
          <w:sz w:val="24"/>
          <w:vertAlign w:val="superscript"/>
        </w:rPr>
        <w:t>2</w:t>
      </w:r>
      <w:r>
        <w:rPr>
          <w:snapToGrid w:val="0"/>
          <w:sz w:val="24"/>
        </w:rPr>
        <w:t>. Электромагнитные излучения теле- и радиостанций доходят до сотен ватт на метр, а линии электропередач – до 30кВ/м.</w:t>
      </w:r>
    </w:p>
    <w:p w:rsidR="002B3660" w:rsidRDefault="002B3660">
      <w:pPr>
        <w:spacing w:line="360" w:lineRule="auto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Все эти величины значительно (в 10 раз и более) превышают допустимые уровни.</w:t>
      </w:r>
    </w:p>
    <w:p w:rsidR="002B3660" w:rsidRDefault="002B3660">
      <w:pPr>
        <w:pStyle w:val="1"/>
        <w:jc w:val="center"/>
        <w:rPr>
          <w:rFonts w:ascii="Times New Roman" w:hAnsi="Times New Roman"/>
        </w:rPr>
      </w:pPr>
      <w:r>
        <w:br w:type="page"/>
      </w:r>
      <w:bookmarkStart w:id="8" w:name="_Toc472230907"/>
      <w:r>
        <w:rPr>
          <w:rFonts w:ascii="Times New Roman" w:hAnsi="Times New Roman"/>
        </w:rPr>
        <w:t>Литература</w:t>
      </w:r>
      <w:bookmarkEnd w:id="8"/>
    </w:p>
    <w:p w:rsidR="002B3660" w:rsidRDefault="002B3660">
      <w:pPr>
        <w:spacing w:line="360" w:lineRule="auto"/>
        <w:rPr>
          <w:sz w:val="24"/>
        </w:rPr>
      </w:pPr>
    </w:p>
    <w:p w:rsidR="002B3660" w:rsidRDefault="002B3660">
      <w:pPr>
        <w:spacing w:line="360" w:lineRule="auto"/>
        <w:rPr>
          <w:sz w:val="24"/>
        </w:rPr>
      </w:pP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Акимова Т.А., Хаскин В.В. Экология: Учебник. – М.: Изд-во ЮНИТИ, 1998 . – 455 с.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Бойко В.И. и др. Нужна ли АЭС Томскому региону?: Экология. Экономика. Безопасность/ В.И. Бойко, Ф.П. Кошелев, А.Е. Колчин. – Томск, 1995. – 90 с.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Бримблкумб П. Состав и химия атмосферы: Пер. с англ.  – М.: Мир, 1988.- 352 с.: ил.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Кабанов М.В. Региональный мониторинг атмосферы. Ч. 1. Научно-методические основы/ Под ред. В.Е. Зуева.  – Томск: Изд-во СО РАН, 1997.- 211  с.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Келлер А.А., Кувакин В.И. Медицинская экология. – СПб.: Петроградский и К, 1998. – 256 с.: ил.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Киселев Г.В. Проблема развития ядерной энергетики.- М.: Знание, 1990.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Природопользование: Учебник. – М.: Дашков и Ко, 1999.-252 с.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Протасов В.Ф., Молчанов А.В. Экология, здоровье и природопользование в России./ Под ред. В.Ф. Протасова.  – М,: Финансы и статистика, 1995.- 528 с: ил.</w:t>
      </w:r>
    </w:p>
    <w:p w:rsidR="002B3660" w:rsidRDefault="002B3660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Экология: Учеб. Пособие / Под общ. Ред. С.А. Боголюбова. – М,: Знание, 1999.- 288 с.</w:t>
      </w:r>
    </w:p>
    <w:p w:rsidR="002B3660" w:rsidRDefault="002B3660">
      <w:pPr>
        <w:spacing w:line="360" w:lineRule="auto"/>
        <w:jc w:val="both"/>
        <w:rPr>
          <w:sz w:val="24"/>
        </w:rPr>
      </w:pPr>
    </w:p>
    <w:p w:rsidR="002B3660" w:rsidRDefault="002B3660">
      <w:pPr>
        <w:spacing w:line="360" w:lineRule="auto"/>
        <w:jc w:val="both"/>
        <w:rPr>
          <w:sz w:val="24"/>
        </w:rPr>
      </w:pPr>
    </w:p>
    <w:p w:rsidR="002B3660" w:rsidRDefault="002B3660">
      <w:pPr>
        <w:spacing w:line="360" w:lineRule="auto"/>
        <w:jc w:val="both"/>
        <w:rPr>
          <w:sz w:val="24"/>
        </w:rPr>
      </w:pPr>
    </w:p>
    <w:p w:rsidR="002B3660" w:rsidRDefault="002B3660">
      <w:pPr>
        <w:spacing w:line="360" w:lineRule="auto"/>
        <w:jc w:val="both"/>
        <w:rPr>
          <w:sz w:val="24"/>
        </w:rPr>
      </w:pPr>
      <w:bookmarkStart w:id="9" w:name="_GoBack"/>
      <w:bookmarkEnd w:id="9"/>
    </w:p>
    <w:sectPr w:rsidR="002B3660">
      <w:footerReference w:type="even" r:id="rId7"/>
      <w:footerReference w:type="default" r:id="rId8"/>
      <w:pgSz w:w="11906" w:h="16838" w:code="9"/>
      <w:pgMar w:top="851" w:right="851" w:bottom="851" w:left="1418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660" w:rsidRDefault="002B3660">
      <w:r>
        <w:separator/>
      </w:r>
    </w:p>
  </w:endnote>
  <w:endnote w:type="continuationSeparator" w:id="0">
    <w:p w:rsidR="002B3660" w:rsidRDefault="002B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0" w:rsidRDefault="002B3660">
    <w:pPr>
      <w:pStyle w:val="aa"/>
      <w:framePr w:wrap="around" w:vAnchor="text" w:hAnchor="margin" w:xAlign="right" w:y="1"/>
      <w:rPr>
        <w:rStyle w:val="ab"/>
      </w:rPr>
    </w:pPr>
  </w:p>
  <w:p w:rsidR="002B3660" w:rsidRDefault="002B366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60" w:rsidRDefault="009A474B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2B3660" w:rsidRDefault="002B36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660" w:rsidRDefault="002B3660">
      <w:r>
        <w:separator/>
      </w:r>
    </w:p>
  </w:footnote>
  <w:footnote w:type="continuationSeparator" w:id="0">
    <w:p w:rsidR="002B3660" w:rsidRDefault="002B3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F30D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pStyle w:val="3"/>
      <w:lvlText w:val="*"/>
      <w:lvlJc w:val="left"/>
    </w:lvl>
  </w:abstractNum>
  <w:abstractNum w:abstractNumId="2">
    <w:nsid w:val="02F944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4E6D31"/>
    <w:multiLevelType w:val="singleLevel"/>
    <w:tmpl w:val="8F9A90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3A60534"/>
    <w:multiLevelType w:val="multilevel"/>
    <w:tmpl w:val="5762BCF2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B4A34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3FB2A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DDA760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37A4FB9"/>
    <w:multiLevelType w:val="singleLevel"/>
    <w:tmpl w:val="3D149746"/>
    <w:lvl w:ilvl="0">
      <w:start w:val="1"/>
      <w:numFmt w:val="bullet"/>
      <w:pStyle w:val="a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pStyle w:val="3"/>
        <w:lvlText w:val="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pStyle w:val="3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</w:num>
  <w:num w:numId="4">
    <w:abstractNumId w:val="4"/>
  </w:num>
  <w:num w:numId="5">
    <w:abstractNumId w:val="1"/>
    <w:lvlOverride w:ilvl="0">
      <w:lvl w:ilvl="0">
        <w:start w:val="1"/>
        <w:numFmt w:val="bullet"/>
        <w:pStyle w:val="3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</w:num>
  <w:num w:numId="12">
    <w:abstractNumId w:val="7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74B"/>
    <w:rsid w:val="0019729C"/>
    <w:rsid w:val="002B3660"/>
    <w:rsid w:val="009A474B"/>
    <w:rsid w:val="00E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973FD-3741-492F-91BC-00D83619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0"/>
    <w:next w:val="a0"/>
    <w:qFormat/>
    <w:pPr>
      <w:keepNext/>
      <w:spacing w:line="360" w:lineRule="auto"/>
      <w:jc w:val="both"/>
      <w:outlineLvl w:val="1"/>
    </w:pPr>
    <w:rPr>
      <w:b/>
      <w:i/>
      <w:snapToGrid w:val="0"/>
      <w:sz w:val="24"/>
    </w:rPr>
  </w:style>
  <w:style w:type="paragraph" w:styleId="3">
    <w:name w:val="heading 3"/>
    <w:basedOn w:val="a0"/>
    <w:next w:val="a0"/>
    <w:qFormat/>
    <w:pPr>
      <w:keepNext/>
      <w:keepLines/>
      <w:numPr>
        <w:ilvl w:val="2"/>
        <w:numId w:val="2"/>
      </w:numPr>
      <w:suppressAutoHyphens/>
      <w:spacing w:before="120" w:after="120" w:line="340" w:lineRule="atLeast"/>
      <w:jc w:val="both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semiHidden/>
    <w:pPr>
      <w:jc w:val="both"/>
    </w:pPr>
    <w:rPr>
      <w:rFonts w:ascii="FuturisC" w:hAnsi="FuturisC"/>
      <w:sz w:val="24"/>
    </w:rPr>
  </w:style>
  <w:style w:type="paragraph" w:styleId="a5">
    <w:name w:val="Plain Text"/>
    <w:basedOn w:val="a0"/>
    <w:semiHidden/>
    <w:rPr>
      <w:rFonts w:ascii="Courier New" w:hAnsi="Courier New"/>
    </w:rPr>
  </w:style>
  <w:style w:type="paragraph" w:styleId="a6">
    <w:name w:val="Body Text Indent"/>
    <w:basedOn w:val="a0"/>
    <w:semiHidden/>
    <w:pPr>
      <w:spacing w:line="360" w:lineRule="auto"/>
      <w:ind w:firstLine="720"/>
      <w:jc w:val="both"/>
    </w:pPr>
    <w:rPr>
      <w:sz w:val="24"/>
    </w:rPr>
  </w:style>
  <w:style w:type="paragraph" w:styleId="a">
    <w:name w:val="List Bullet"/>
    <w:basedOn w:val="a0"/>
    <w:autoRedefine/>
    <w:semiHidden/>
    <w:pPr>
      <w:numPr>
        <w:numId w:val="13"/>
      </w:numPr>
      <w:spacing w:line="340" w:lineRule="atLeast"/>
      <w:jc w:val="both"/>
    </w:pPr>
    <w:rPr>
      <w:sz w:val="32"/>
    </w:rPr>
  </w:style>
  <w:style w:type="paragraph" w:customStyle="1" w:styleId="a7">
    <w:name w:val="Номер табл."/>
    <w:basedOn w:val="a0"/>
    <w:next w:val="a0"/>
    <w:pPr>
      <w:spacing w:before="120" w:line="340" w:lineRule="atLeast"/>
      <w:ind w:firstLine="709"/>
      <w:jc w:val="right"/>
    </w:pPr>
    <w:rPr>
      <w:sz w:val="32"/>
    </w:rPr>
  </w:style>
  <w:style w:type="paragraph" w:customStyle="1" w:styleId="a8">
    <w:name w:val="Назв. табл."/>
    <w:basedOn w:val="a0"/>
    <w:next w:val="a0"/>
    <w:pPr>
      <w:keepNext/>
      <w:keepLines/>
      <w:spacing w:after="120" w:line="340" w:lineRule="atLeast"/>
      <w:jc w:val="center"/>
    </w:pPr>
    <w:rPr>
      <w:sz w:val="32"/>
    </w:rPr>
  </w:style>
  <w:style w:type="paragraph" w:styleId="a9">
    <w:name w:val="caption"/>
    <w:basedOn w:val="a0"/>
    <w:next w:val="a0"/>
    <w:qFormat/>
    <w:pPr>
      <w:spacing w:line="360" w:lineRule="auto"/>
      <w:jc w:val="right"/>
    </w:pPr>
    <w:rPr>
      <w:sz w:val="24"/>
    </w:rPr>
  </w:style>
  <w:style w:type="paragraph" w:styleId="10">
    <w:name w:val="toc 1"/>
    <w:basedOn w:val="a0"/>
    <w:next w:val="a0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0"/>
    <w:next w:val="a0"/>
    <w:autoRedefine/>
    <w:semiHidden/>
    <w:pPr>
      <w:ind w:left="200"/>
    </w:pPr>
    <w:rPr>
      <w:smallCaps/>
    </w:rPr>
  </w:style>
  <w:style w:type="paragraph" w:styleId="30">
    <w:name w:val="toc 3"/>
    <w:basedOn w:val="a0"/>
    <w:next w:val="a0"/>
    <w:autoRedefine/>
    <w:semiHidden/>
    <w:pPr>
      <w:ind w:left="400"/>
    </w:pPr>
    <w:rPr>
      <w:i/>
    </w:rPr>
  </w:style>
  <w:style w:type="paragraph" w:styleId="4">
    <w:name w:val="toc 4"/>
    <w:basedOn w:val="a0"/>
    <w:next w:val="a0"/>
    <w:autoRedefine/>
    <w:semiHidden/>
    <w:pPr>
      <w:ind w:left="600"/>
    </w:pPr>
    <w:rPr>
      <w:sz w:val="18"/>
    </w:rPr>
  </w:style>
  <w:style w:type="paragraph" w:styleId="5">
    <w:name w:val="toc 5"/>
    <w:basedOn w:val="a0"/>
    <w:next w:val="a0"/>
    <w:autoRedefine/>
    <w:semiHidden/>
    <w:pPr>
      <w:ind w:left="800"/>
    </w:pPr>
    <w:rPr>
      <w:sz w:val="18"/>
    </w:rPr>
  </w:style>
  <w:style w:type="paragraph" w:styleId="6">
    <w:name w:val="toc 6"/>
    <w:basedOn w:val="a0"/>
    <w:next w:val="a0"/>
    <w:autoRedefine/>
    <w:semiHidden/>
    <w:pPr>
      <w:ind w:left="1000"/>
    </w:pPr>
    <w:rPr>
      <w:sz w:val="18"/>
    </w:rPr>
  </w:style>
  <w:style w:type="paragraph" w:styleId="7">
    <w:name w:val="toc 7"/>
    <w:basedOn w:val="a0"/>
    <w:next w:val="a0"/>
    <w:autoRedefine/>
    <w:semiHidden/>
    <w:pPr>
      <w:ind w:left="1200"/>
    </w:pPr>
    <w:rPr>
      <w:sz w:val="18"/>
    </w:rPr>
  </w:style>
  <w:style w:type="paragraph" w:styleId="8">
    <w:name w:val="toc 8"/>
    <w:basedOn w:val="a0"/>
    <w:next w:val="a0"/>
    <w:autoRedefine/>
    <w:semiHidden/>
    <w:pPr>
      <w:ind w:left="1400"/>
    </w:pPr>
    <w:rPr>
      <w:sz w:val="18"/>
    </w:rPr>
  </w:style>
  <w:style w:type="paragraph" w:styleId="9">
    <w:name w:val="toc 9"/>
    <w:basedOn w:val="a0"/>
    <w:next w:val="a0"/>
    <w:autoRedefine/>
    <w:semiHidden/>
    <w:pPr>
      <w:ind w:left="1600"/>
    </w:pPr>
    <w:rPr>
      <w:sz w:val="18"/>
    </w:rPr>
  </w:style>
  <w:style w:type="paragraph" w:styleId="21">
    <w:name w:val="Body Text Indent 2"/>
    <w:basedOn w:val="a0"/>
    <w:semiHidden/>
    <w:pPr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0"/>
    <w:semiHidden/>
    <w:pPr>
      <w:tabs>
        <w:tab w:val="center" w:pos="4153"/>
        <w:tab w:val="right" w:pos="8306"/>
      </w:tabs>
    </w:pPr>
  </w:style>
  <w:style w:type="character" w:styleId="ab">
    <w:name w:val="page number"/>
    <w:basedOn w:val="a1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4408</Words>
  <Characters>25132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TPU S&amp;T Library</Company>
  <LinksUpToDate>false</LinksUpToDate>
  <CharactersWithSpaces>29482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Ирина В. Котова</dc:creator>
  <cp:keywords/>
  <cp:lastModifiedBy>admin</cp:lastModifiedBy>
  <cp:revision>2</cp:revision>
  <cp:lastPrinted>2000-01-11T14:39:00Z</cp:lastPrinted>
  <dcterms:created xsi:type="dcterms:W3CDTF">2014-02-11T21:04:00Z</dcterms:created>
  <dcterms:modified xsi:type="dcterms:W3CDTF">2014-02-11T21:04:00Z</dcterms:modified>
</cp:coreProperties>
</file>