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1FB0" w:rsidRPr="00CB1FB0" w:rsidRDefault="00CB1FB0" w:rsidP="00CB1FB0">
      <w:pPr>
        <w:spacing w:before="120"/>
        <w:jc w:val="center"/>
        <w:rPr>
          <w:b/>
          <w:bCs/>
          <w:sz w:val="32"/>
          <w:szCs w:val="32"/>
        </w:rPr>
      </w:pPr>
      <w:r w:rsidRPr="00CB1FB0">
        <w:rPr>
          <w:b/>
          <w:bCs/>
          <w:sz w:val="32"/>
          <w:szCs w:val="32"/>
        </w:rPr>
        <w:t>Воспалительные заболевания гениталий у девочек</w:t>
      </w:r>
    </w:p>
    <w:p w:rsidR="00CB1FB0" w:rsidRDefault="00CB1FB0" w:rsidP="00CB1FB0">
      <w:pPr>
        <w:spacing w:before="120"/>
        <w:ind w:firstLine="567"/>
        <w:jc w:val="both"/>
      </w:pPr>
      <w:r w:rsidRPr="00CB1FB0">
        <w:t>К.м.н. Т.М. Творогова</w:t>
      </w:r>
      <w:r>
        <w:t xml:space="preserve">, </w:t>
      </w:r>
      <w:r w:rsidRPr="00CB1FB0">
        <w:t>РМАПО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В структуре гинекологических заболеваний детского возраста воспалительные поражения гениталий занимают ведущее место. Клиническое значение указанной патологии определяется не только ее частотой, но и тем, что она может явиться причиной серьезных нарушений репродуктивной системы в дальнейшем.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У девочек допубертатного «нейтрального» периода (в среднем до 10 лет) наружные половые органы и влагалище наиболее подвержены воспалительным процессам с развитием вульвитов и вагинитов. При этом самым распространенным является сочетанное поражение, трактуемое как вульвовагинит.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Сказанное определяется прежде всего физиологическими особенностями и этапностью становления биоценоза половых путей растущей девочки. </w:t>
      </w:r>
    </w:p>
    <w:p w:rsidR="00CB1FB0" w:rsidRPr="00CB1FB0" w:rsidRDefault="00CB1FB0" w:rsidP="00CB1FB0">
      <w:pPr>
        <w:spacing w:before="120"/>
        <w:jc w:val="center"/>
        <w:rPr>
          <w:b/>
          <w:bCs/>
          <w:sz w:val="28"/>
          <w:szCs w:val="28"/>
        </w:rPr>
      </w:pPr>
      <w:r w:rsidRPr="00CB1FB0">
        <w:rPr>
          <w:b/>
          <w:bCs/>
          <w:sz w:val="28"/>
          <w:szCs w:val="28"/>
        </w:rPr>
        <w:t xml:space="preserve">Микрофлора вульвы и влагалища девочек в норме в зависимости от возраста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Биоценоз половых путей растущей девочки изучен достаточно хорошо, что дало возможность выработать критерии для оценки его состояния в норме и при патологии. Формирование естественной микрофлоры влагалища у здоровой девочки – сложный многофакторный процесс, в основе которого лежит взаимодействие гормональной системы с иммунологическими особенностями организма. При этом доминирующее значение имеет функциональное состояние яичников, наличие лактофлоры и состояние местного иммунитета.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У новорожденной девочки влагалище стерильно, но уже через 12 часов после рождения слизистая заселяется бактериями, среди которых преобладают лактобациллы (палочка Додерлейна). Последние расщепляют гликоген влагалищного эпителия с образованием молочной кислоты, что формирует кислую реакцию влагалищной среды, которая и защищает слизистую от контаминации экзогенными микроорганизмами.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К 20–му дню жизни материнские гормоны (прогестерон, эстрогены), обеспечивающие пролиферацию вагинального эпителия и его высокую степень насыщения гликогеном, выводятся из организма. Мазок принимает атрофический характер – эпителий истончается, лактобактерии исчезают, реакция среды становится слабо–щелочной или нейтральной. При этом влагалище заселяется кокковой и бациллярной флорой.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Обследование здоровых девочек с 2–х месячного возраста до менархе показало преобладание следующих микроорганизмов: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эпидермальный стафилококк – 84% случаев;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дифтероиды (коринебактерии) – 80%;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бактероиды и пептококки – 76%;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пептострептококки – 56%;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эубактерии – 32%;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гарднерелла вагиналис – 32 % ( в школьном возрасте);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микоплазма – 9% (в основном до 9 лет) случаев.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Наибольшая частота вульвовагинитов приходится на «нейтральный» период и составляет, по данным различных авторов, 82–85% в структуре гинекологической заболеваемости.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После 9 лет повышается эстрогенная секреция и вновь происходят изменения во влагалищном эпителии в виде усиления пролиферации, созревания, накопления гликогена, и к 10 годам начинается заселение лактобациллами, со смещением рН среды в кислую сторону.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К 12 годам в мазке преобладает лактофлора. Повышение эстрогенной стимуляции приводит к дальнейшему созреванию эпителия, размножению лактобацилл и к 13–14 годам рН влагалищной среды становится кислой.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Частота вульвовагинитов после 10 лет снижается до 30–40%, уступая в пубертатном периоде заболеваниям, именуемым расстройствами менструальной функции. </w:t>
      </w:r>
    </w:p>
    <w:p w:rsidR="00CB1FB0" w:rsidRPr="00CB1FB0" w:rsidRDefault="00CB1FB0" w:rsidP="00CB1FB0">
      <w:pPr>
        <w:spacing w:before="120"/>
        <w:jc w:val="center"/>
        <w:rPr>
          <w:b/>
          <w:bCs/>
          <w:sz w:val="28"/>
          <w:szCs w:val="28"/>
        </w:rPr>
      </w:pPr>
      <w:r w:rsidRPr="00CB1FB0">
        <w:rPr>
          <w:b/>
          <w:bCs/>
          <w:sz w:val="28"/>
          <w:szCs w:val="28"/>
        </w:rPr>
        <w:t xml:space="preserve">Классификация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В основу большинства классификаций вульвовагинитов у девочек положен этиологический принцип.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Исходя из приведенных данных следует, что к основным факторам, способствующим инфицированию половых путей у девочек, следует отнести: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анатомо–физиологические особенности гениталий у девочек;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экстрагенитальные заболевания различной природы;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экзогенные патологические факторы.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Имеют значение неблагоприятные социально–бытовые условия, несоблюдение правил личной гигиены.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Однако ведущая роль принадлежит причинному инфекционному фактору. В большинстве случаев (в 72%) у девочек до 10 лет этиологическим фактором вульвовагинитов является бактериальная флора, представленная: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кишечной палочкой у 60% больных;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золотистым стафилококком у 21%;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диплококком у 11%;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энтерококком у 7%;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хламидиями у 13%;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анаэробной флорой – 7%.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В возрасте от 10 до 15 лет среди вульвовагинитов чаще встречаются микотические, что может быть обусловлено кислой реакцией влагалищной среды, благоприятной для грибов, а также наличием взаимосвязи с предшествующей антибактериальной терапией. Согласно литературным данным, наиболее часто встречаются: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грибы рода Кандида у 46,7% больных;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кишечная палочка у 37%;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стафилококки у 14,5%;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стрептококки у 20 %;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ассоциации микроорганизмов у 7%.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Следует обратить внимание на возрастание этиологической роли стрептококковой инфекции в развитии вульвовагинитов у девочек–подростков.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При наличии клиники вульвовагинита в мазке: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– лейкоцитов больше 15 в п/зрения;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– слущенного эпителия – много; </w:t>
      </w:r>
    </w:p>
    <w:p w:rsidR="00CB1FB0" w:rsidRDefault="00CB1FB0" w:rsidP="00CB1FB0">
      <w:pPr>
        <w:spacing w:before="120"/>
        <w:ind w:firstLine="567"/>
        <w:jc w:val="both"/>
      </w:pPr>
      <w:r w:rsidRPr="00CB1FB0">
        <w:t>– флора – смешанная, кокковая, палочковая, специфическая – в значительном количестве</w:t>
      </w:r>
      <w:r>
        <w:t>.</w:t>
      </w:r>
    </w:p>
    <w:p w:rsidR="00CB1FB0" w:rsidRPr="00CB1FB0" w:rsidRDefault="00CB1FB0" w:rsidP="00CB1FB0">
      <w:pPr>
        <w:spacing w:before="120"/>
        <w:jc w:val="center"/>
        <w:rPr>
          <w:b/>
          <w:bCs/>
          <w:sz w:val="28"/>
          <w:szCs w:val="28"/>
        </w:rPr>
      </w:pPr>
      <w:r w:rsidRPr="00CB1FB0">
        <w:rPr>
          <w:b/>
          <w:bCs/>
          <w:sz w:val="28"/>
          <w:szCs w:val="28"/>
        </w:rPr>
        <w:t xml:space="preserve">Лечение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Лечение вульвовагинитов у девочек нередко является сложной задачей, требует комплексной терапии и предполагает дифференцированную тактику. При тяжелых проявлениях воспаления, частых рецидивах, кроме соблюдения личной гигиены и проведения местного противовоспалительного лечения, необходима терапия основного заболевания, санация очагов хронической инфекции, повышение защитных сил организма (табл. 5). </w:t>
      </w:r>
    </w:p>
    <w:p w:rsidR="00CB1FB0" w:rsidRPr="00CB1FB0" w:rsidRDefault="00CB1FB0" w:rsidP="00CB1FB0">
      <w:pPr>
        <w:spacing w:before="120"/>
        <w:ind w:firstLine="567"/>
        <w:jc w:val="both"/>
      </w:pPr>
      <w:r>
        <w:fldChar w:fldCharType="begin"/>
      </w:r>
      <w:r w:rsidR="00586DB6">
        <w:instrText xml:space="preserve"> INCLUDEPICTURE "C:\\www\\doc2html\\work\\bestreferat-6581-13906848079582\\input\\26_htm - Русский медицинский журнал т_12 " \* MERGEFORMAT \d </w:instrText>
      </w:r>
      <w:r>
        <w:fldChar w:fldCharType="separate"/>
      </w:r>
      <w:r w:rsidR="00B70475">
        <w:fldChar w:fldCharType="begin"/>
      </w:r>
      <w:r w:rsidR="00B70475">
        <w:instrText xml:space="preserve"> </w:instrText>
      </w:r>
      <w:r w:rsidR="00B70475">
        <w:instrText>INCLUDEPIC</w:instrText>
      </w:r>
      <w:r w:rsidR="00B70475">
        <w:instrText>TURE  \d "C:\\www\\doc2html\\work\\bestreferat-6581-13906848079582\\input\\26_htm - Русский медицинский журнал т_12 " \* MERGEFORMATINET</w:instrText>
      </w:r>
      <w:r w:rsidR="00B70475">
        <w:instrText xml:space="preserve"> </w:instrText>
      </w:r>
      <w:r w:rsidR="00B70475">
        <w:fldChar w:fldCharType="separate"/>
      </w:r>
      <w:r w:rsidR="00B704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>
            <v:imagedata r:id="rId5"/>
          </v:shape>
        </w:pict>
      </w:r>
      <w:r w:rsidR="00B70475">
        <w:fldChar w:fldCharType="end"/>
      </w:r>
      <w:r>
        <w:fldChar w:fldCharType="end"/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Местная антибиотикотерапия применяется при рецидивирующем характере течения и только при идентифицированной патогенной микрофлоре с определением ее чувствительности к антибактериальным препаратам (табл. 6). При тяжелых вульвовагинитах показано парентеральное введение антибактериальных препаратов. Учитывая частоту анаэробов, участвующих в развитии вагинитов, а также тяжесть анаэробной инфекции, многие авторы рекомендуют широкое использование в его лечении метронидазола, эффективного в отношении Trichomonas vaginalis, бактероидов, фузобактерий. При наружном применении препарат обладает также антиоксидантным и противовоспалительным дерматопротективным действием. Метронидазол действует синергически с другими антибиотиками. Внутрь детям старше 15 лет назначают по 250–500 мг 2–3 раза в сут. Детям до 15 лет назначают в дозе 20–40 мг/кг в сут., в 3 приема. Свечи и вагинальные таблетки назначают по 1 шт. (500 мг) на ночь. Внутривенное введение показано при тяжелом течении инфекций, а также при отсутствии возможности приема препарата внутрь. Для детей старше 12 лет разовая доза при внутривенной инфузии составляет 500 мг, интервал между введениями 8 ч. Длительность курсов лечения и частота их проведения определяются индивидуально.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На заключительном этапе этиотропного лечения с целью коррекции вагинальных дисбиотических процессов применяются местно и энтерально такие препараты, как, бифидумбактерии, лактобактерин, биовестин–лакто. </w:t>
      </w:r>
    </w:p>
    <w:p w:rsidR="00CB1FB0" w:rsidRPr="00CB1FB0" w:rsidRDefault="00CB1FB0" w:rsidP="00CB1FB0">
      <w:pPr>
        <w:spacing w:before="120"/>
        <w:jc w:val="center"/>
        <w:rPr>
          <w:b/>
          <w:bCs/>
          <w:sz w:val="28"/>
          <w:szCs w:val="28"/>
        </w:rPr>
      </w:pPr>
      <w:r w:rsidRPr="00CB1FB0">
        <w:rPr>
          <w:b/>
          <w:bCs/>
          <w:sz w:val="28"/>
          <w:szCs w:val="28"/>
        </w:rPr>
        <w:t xml:space="preserve">Лечение микотического вульвовагинита у девочек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Микотический вульвовагинит в большинстве случаев является частным проявлением кандидоза, развитию которого способствуют тяжелые соматические и инфекционные заболевания, нарушение обмена, гиповитаминозы, нерациональное использование антибиотиков широкого спектра действия, иммунодефицитные состояния. В связи с этим обязательным условием эффективного лечения кандидоза гениталий является сведение к минимуму или устранение указанных факторов, что достигается: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1) лечением основного заболевания;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2) диетотерапией с ограничением продуктов, богатых углеводами;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3) витаминотерапией и иммунокорригирующими средствами;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4) десенсибилизирующей терапией.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Особенностью кандидозного вульвовагинита является упорное течение, склонность к рецидивированию. Поэтому специфическое лечение, как правило, должно быть длительным, курсовым. Количество курсов – не менее 2–3, перерыв между курсами 7–10 дней. </w:t>
      </w:r>
    </w:p>
    <w:p w:rsidR="00CB1FB0" w:rsidRDefault="00CB1FB0" w:rsidP="00CB1FB0">
      <w:pPr>
        <w:spacing w:before="120"/>
        <w:ind w:firstLine="567"/>
        <w:jc w:val="both"/>
      </w:pPr>
      <w:r w:rsidRPr="00CB1FB0">
        <w:t>При микотическом поражении гениталий у девочек нередко возникают ассоциации с бактериями, простейшими. В этих случаях целесообразно применение препаратов, обладающих не только антимикотической активностью, но и проявляющих антибактериальное воздействие на грамположительные и грамотрицательные микроорганизмы, а также имеющих антипаразитарное действие</w:t>
      </w:r>
      <w:r>
        <w:t>.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К таким препаратам (из указанных выше) относятся: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Изоконазол – активен в отношении дрожжеподобных грибов, грамположительных микробов (стафилококки, микрококки, стрептококки).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Миконазол – выражена активность в отношении грибов рода Кандида и грамположительной микрофлоры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Сангвиритрин – обладает широким спектром антимикотической и антимикробной активности, действуя на грамположительные и грамотрицательные микроорганизмы. Активен в отношении антибиотикорезистентных штаммов микробов.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В последние годы стали применяться комбинированные препараты для лечения микотических и смешанных вульвовагинитов. Литературные данные свидетельствуют об их высокой эффективности, позволяющей добиться полного клинического и микробиологического выздоровления при отсутствии побочных реакций. В то же время сведений о применении комбинированных препаратов в педиатрической практике фактически нет, имеются лишь отдельные наблюдения.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В перерывах между курсами специфической антимикотической местной терапии проводят неспецифическую терапию широко известными средствами: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2% раствором соды;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20% раствором буры в глицерине;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жидкостью Кастеллани;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1% раствором йодинола;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генциан–виолетом 1:5000;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основным фуксином 1:5000.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Вышеперечисленные средства способствуют удалению мицелия гриба, нарушают процесс прикрепления гриба к слизистым, тормозят его размножение.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Эффективность лечения микотического вульвита увеличивается при сочетанном применении антимикотических средств местно и энтерально. Общее лечение становится обязательным при неэффективности местного, в частности, при рецидивировании процесса и его генерализации.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Кетоконазол – высокоэффективный антимикотический препарат. Однако при лечении возможны серьезные побочные реакции, обладает кумулятивным эффектом. В связи с этим применение препарата ограничено.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Натамицин – малотоксичен, к нему чувствительны большинство патогенных дрожжеподобных грибов, особенно Candida albicans. По данным сотрудников кафедры педиатрии РМАПО, препарат эффективен, хорошо переносится больными, в т.ч. детьми первого года жизни, побочных реакций не отмечено.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С целью восстановления биоценоза влагалища и коррекции местного иммунитета после проведенной комплексной терапии микотического вульвовагинита целесообразно назначение эубиотиков (ацилакт, лактобактерин и др.) в свечах ректально и вагинально.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Исходя из вышеизложенного, тактика лечения вульвовагинитов у девочек должна быть строго дифференцирована и определяться как этиологическим фактором, так и состоянием макроорганизма в целом. Внедрение в практику современных антибактериальных и антимикотических препаратов позволяет не только повысить эффективность терапии воспалительных заболеваний гениталий у девочек, но и снизить число рецидивов, профилактировать хронизацию процесса, избежать отдаленных последствий перенесенного воспаления гениталий. </w:t>
      </w:r>
    </w:p>
    <w:p w:rsidR="00CB1FB0" w:rsidRPr="00CB1FB0" w:rsidRDefault="00CB1FB0" w:rsidP="00CB1FB0">
      <w:pPr>
        <w:spacing w:before="120"/>
        <w:jc w:val="center"/>
        <w:rPr>
          <w:b/>
          <w:bCs/>
          <w:sz w:val="28"/>
          <w:szCs w:val="28"/>
        </w:rPr>
      </w:pPr>
      <w:r w:rsidRPr="00CB1FB0">
        <w:rPr>
          <w:b/>
          <w:bCs/>
          <w:sz w:val="28"/>
          <w:szCs w:val="28"/>
        </w:rPr>
        <w:t>Список литературы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1. Кохреидзе Н.А., Кравченко М.Е.. Становление вагинальной микрофлоры в возрастном аспекте // Ж. Детская больница, 2002, 3: 45–47.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2. Буданов П.В., Баев О.Р. Диагностика и варианты комплексного нарушения микроценоза влагалища // Вопросы гинекологии, акушерства и перинатологии, 2002; т.1, 2: 73–76.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3. Лебедев В.А., Давыдов А.И. Урогенитальный хламидиоз // Вопросы гинекологии, акушерства и перинатологии, 2002; т.1, 2: 25–30.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4. Коколина В.Ф., Бижанова Д.А. Диагностика и лечение вульвовагинитов // Ж. Педиатрия, 1993№ 6: 57–59.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5. Коколина В.Ф., Зубакова О.В. Диагностика и лечение урогенитальных инфекций в гинекологии детского и подросткового возраста. Методическое пособие. М. 1998.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6. Кобозева Н.В., Кузнецова М.Н., Гуркин Ю.А. Гинекология детей и подростков // Ленинград «Медицина». 1988, 126–146. </w:t>
      </w:r>
    </w:p>
    <w:p w:rsidR="00CB1FB0" w:rsidRPr="00CB1FB0" w:rsidRDefault="00CB1FB0" w:rsidP="00CB1FB0">
      <w:pPr>
        <w:spacing w:before="120"/>
        <w:ind w:firstLine="567"/>
        <w:jc w:val="both"/>
      </w:pPr>
      <w:r w:rsidRPr="00CB1FB0">
        <w:t xml:space="preserve">7. Кулаков В.И., Прилепская В.Н. Практическая гинекология // Москва, 2001, 177–253. </w:t>
      </w:r>
    </w:p>
    <w:p w:rsidR="00CB1FB0" w:rsidRDefault="00CB1FB0" w:rsidP="00CB1FB0">
      <w:pPr>
        <w:spacing w:before="120"/>
        <w:ind w:firstLine="567"/>
        <w:jc w:val="both"/>
      </w:pPr>
      <w:r w:rsidRPr="00CB1FB0">
        <w:t xml:space="preserve">8. Серов В.Н. с соавт. Значение генитальных инфекций в формировании распространенных гинекологичесих заболеваний и их современное лечение // Информационное письмо, Москва, 1997. </w:t>
      </w:r>
      <w:bookmarkStart w:id="0" w:name="_GoBack"/>
      <w:bookmarkEnd w:id="0"/>
    </w:p>
    <w:sectPr w:rsidR="00CB1FB0" w:rsidSect="00CB1F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B4924"/>
    <w:multiLevelType w:val="multilevel"/>
    <w:tmpl w:val="813A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650542"/>
    <w:multiLevelType w:val="multilevel"/>
    <w:tmpl w:val="ABC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E951E13"/>
    <w:multiLevelType w:val="multilevel"/>
    <w:tmpl w:val="DFF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7F0C74"/>
    <w:multiLevelType w:val="multilevel"/>
    <w:tmpl w:val="BCBE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F992DEF"/>
    <w:multiLevelType w:val="multilevel"/>
    <w:tmpl w:val="ED10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noPunctuationKerning/>
  <w:characterSpacingControl w:val="doNotCompress"/>
  <w:doNotValidateAgainstSchema/>
  <w:doNotDemarcateInvalidXml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A72"/>
    <w:rsid w:val="00586DB6"/>
    <w:rsid w:val="0083085A"/>
    <w:rsid w:val="00B70475"/>
    <w:rsid w:val="00CB1FB0"/>
    <w:rsid w:val="00C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E398486-BEC6-4648-9F01-C8321DC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../input/26_htm%20-%20&#1056;&#1091;&#1089;&#1089;&#1082;&#1080;&#1081;%20&#1084;&#1077;&#1076;&#1080;&#1094;&#1080;&#1085;&#1089;&#1082;&#1080;&#1081;%20&#1078;&#1091;&#1088;&#1085;&#1072;&#1083;%20&#1090;_12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7807</Words>
  <Characters>4451</Characters>
  <Application>Microsoft Office Word</Application>
  <DocSecurity>0</DocSecurity>
  <Lines>37</Lines>
  <Paragraphs>24</Paragraphs>
  <ScaleCrop>false</ScaleCrop>
  <Company>Home</Company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26.htm - Русский медицинский журнал т.12 #1, 2004 -- rmj</dc:title>
  <dc:subject/>
  <dc:creator>User</dc:creator>
  <cp:keywords/>
  <dc:description/>
  <cp:lastModifiedBy>admin</cp:lastModifiedBy>
  <cp:revision>2</cp:revision>
  <dcterms:created xsi:type="dcterms:W3CDTF">2014-01-25T21:20:00Z</dcterms:created>
  <dcterms:modified xsi:type="dcterms:W3CDTF">2014-01-25T21:20:00Z</dcterms:modified>
</cp:coreProperties>
</file>