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FA" w:rsidRPr="009709F0" w:rsidRDefault="00C07EFA" w:rsidP="00C07EFA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Воспалительные заболевания мужских половых органов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К таким заболеваниям относятся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Баланопостит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Уретрит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Воспаление органов мошонки (воспаление яичка и его придадков, воспаление семявыводящего протока)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Воспаление семенных пузырьков (везикулит)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Простатит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Баланопостит — воспаление головки полового члена и крайне плоти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Формы заболевания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Острая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Хроническая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Причины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Инфекции передающиеся половым путем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Сахарный диабет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Постоянные механические травмы (трение)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Грибковые заболевания (молочница)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Наиболее часто в молодом возрасте причиной баланопостита являются инфекции передающиеся половым путем — гонорея, трихомонады, уреаплазмы, микоплазмы, хламидии, вирусная инфекции (герпес, вирусы папилломы человека) и др.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Признаки острого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Покраснение кожи головки и крайней плоти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Отек крайней плоти, вплоть до полного закрытия головки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Боли, жжение в области головки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Повышенное выделения из под крайней плоти, (выделения белые, творожистые или гнойные)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Признаки хронического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Выражены нерезко и пациент часто не обращает внимания и не замечает небольшого покраснения крайней плоти и кожи головки полового члена, повышенное выделение смегмы (белого вещества под кожей крайней плоти)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Осложнения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Инфекция с головки полового члена проникает в другие половые органы мужчины и вызывает их воспаление (вплоть до простатита)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Местные осложнения — кожа крайней плоти становится грубой, появляются трещинки, при эрекции кожа плохо растягивается, надрывается.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При длительном течение хронического баланопостита фозникает фимоз (закрытие головки полового члена) — который требует хирургического вмешательства.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Обследование при баланопостите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Каждому мужчине необходимо посещать уролога 1-2 раза в год!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Врач для выявления причины назначит необходимые анализы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Исследование предстательной железы (УЗИ, анализы секрета) и других половых органов (для определения возможных осложнений баланопостита)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Лечение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Зависит от результатов обследования и должно проводиться под наблюдением уролога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Профилактика баланопостита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Гигиена полового члена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Защищенный секс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Лечение сахарного диабета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Разумное использование антибиотиков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Уретрит — воспаление мочеиспускательного канала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Формы уретрита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острая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хроническая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Острый уретрит сопровождается четкими признаками жжение и боль в мочеиспускательном канале обильные, часто гнойные выделения резь при мочеиспускании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Причиной острого уретрита чаще всего являются инфекции передающиеся половым путем — гонорея, трихомониаз и др.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Хронический уретрит может протекать вообще без субъективных ощущений или с не ярко выраженными симптомами неясные неприятные ощущения в мочеиспускательном канале незначительные слизистые выделения по утрам.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Острый уретрит в случае недостаточности его лечения переходит в хронический уретрит!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Обследование при уретрите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мазок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анализы ПИФ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анализы ДНК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бак.посев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эндоскопическое обследование (уретроскопия) — показано при хроническом уретрите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Осложнения уретрита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Как острая, так и хроническая формы уретрита дает осложнения на половые органы и вызывает развитие простатита, воспаление семенных пузырьков (везикулит) и органов мошонки (орхоэпидидимит). В тяжелых случаях в воспалительный процесс вовлекаются и почки (пиелонефрит).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Исходя из вышесказанного, необходимо отнестись к лечению любой формы уретрита серьезно.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Перед лечением необходимо пройти тщательное обследование уретры, половых органов и почек.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Лечение уретрита назначается в зависимости от результатов обследования и обязаткльно проводиться под постоянным наблюдением уролога, с проведением контрольного обследования после окончания лечения.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Обязательно — обследование полового партнера и одновременное лечение.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>Профилактика уретрита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защищенный секс (с презервативом)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промывание уретры после полового акта </w:t>
      </w:r>
    </w:p>
    <w:p w:rsidR="00C07EFA" w:rsidRPr="009709F0" w:rsidRDefault="00C07EFA" w:rsidP="00C07EFA">
      <w:pPr>
        <w:spacing w:before="120"/>
        <w:ind w:firstLine="567"/>
        <w:jc w:val="both"/>
      </w:pPr>
      <w:r w:rsidRPr="009709F0">
        <w:t xml:space="preserve">превентивное (профилактическое) лечение после не защищенных случайных связей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EFA"/>
    <w:rsid w:val="003E2EE0"/>
    <w:rsid w:val="00423830"/>
    <w:rsid w:val="0050390D"/>
    <w:rsid w:val="009709F0"/>
    <w:rsid w:val="00C07EFA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EDB22D-1FB3-4AD8-990A-893D345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>Home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Воспалительные заболевания мужских половых органов</dc:title>
  <dc:subject/>
  <dc:creator>Alena</dc:creator>
  <cp:keywords/>
  <dc:description/>
  <cp:lastModifiedBy>admin</cp:lastModifiedBy>
  <cp:revision>2</cp:revision>
  <dcterms:created xsi:type="dcterms:W3CDTF">2014-02-19T17:00:00Z</dcterms:created>
  <dcterms:modified xsi:type="dcterms:W3CDTF">2014-02-19T17:00:00Z</dcterms:modified>
</cp:coreProperties>
</file>