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F56" w:rsidRDefault="00BB0F5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Возбудители бактериальных инфекций человека</w:t>
      </w:r>
    </w:p>
    <w:p w:rsidR="00BB0F56" w:rsidRDefault="00BB0F56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И.В. Смирнов, Рязанский государственный медицинский университет им. академика И.П.Павлова</w:t>
      </w:r>
    </w:p>
    <w:p w:rsidR="00BB0F56" w:rsidRDefault="00BB0F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Расширение спектра возбудителей бактериальных инфекций человека, многообразие их свойств и неодинаковое медицинское значение требуют углубления знаний о бактериях, участвующих в развитии инфекционных процессов. Эти знания необходимы для формирования научно обоснованной врачебной тактики при классических и оппортунистических инфекциях, особенно на начальном (долабораторном) и конечном (интерпретация) этапах микробиологической диагностики, а также при выборе средств этиотропного лечения и специфической профилактики. В связи с этим актуальным представляется ознакомление врачей и другого медицинского персонала с особенностями возбудителей современных бактериальных инфекций, принципами их классификации и номенклатуры.</w:t>
      </w:r>
    </w:p>
    <w:p w:rsidR="00BB0F56" w:rsidRDefault="00BB0F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Представленные материалы содержат сведения о систематическом положении возбудителей бактериальных инфекций, их патогенности и вирулентности в свете практических вопросов, определяющих тактику диагностики, лечения и профилактики бактериальных инфекций.</w:t>
      </w:r>
    </w:p>
    <w:p w:rsidR="00BB0F56" w:rsidRDefault="00BB0F5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Введение</w:t>
      </w:r>
    </w:p>
    <w:p w:rsidR="00BB0F56" w:rsidRDefault="00BB0F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Прогресс в области клинической микробиологии и инфектологии в последние десятилетия расширил наши представления об известных возбудителях инфекционных болезней и позволил выявить ряд ранее неизвестных инфекций человека.</w:t>
      </w:r>
    </w:p>
    <w:p w:rsidR="00BB0F56" w:rsidRDefault="00BB0F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существенным расширением спектра возбудителей и нередко пересмотром роли некоторых из них в возникновении, развитии и распространении инфекций для практики все более актуальным становится вопрос о применении адекватных методов и средств выделения и точной идентификации возбудителя конкретного заболевания, а также адекватных средств этиотропной терапии и профилактики.</w:t>
      </w:r>
    </w:p>
    <w:p w:rsidR="00BB0F56" w:rsidRDefault="00BB0F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Успех классических методов обнаружения возбудителя инфекции зависит от правильного выбора вида и количества исследуемого материала, времени и техники его отбора, условий транспортирования, обработки, подбора методов и средств выделения и идентификации возбудителя. В каждом конкретном случае они определяются свойствами возбудителя, характером и стадией инфекции.</w:t>
      </w:r>
    </w:p>
    <w:p w:rsidR="00BB0F56" w:rsidRDefault="00BB0F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Следует подчеркнуть, что конечный результат исследования зависит не только (а иногда и не столько) от компетентности и адекватных действий микробиолога, но и от грамотности действий тех специалистов, которые имеют отношение к исследуемому материалу на долабораторном этапе. </w:t>
      </w:r>
    </w:p>
    <w:p w:rsidR="00BB0F56" w:rsidRDefault="00BB0F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менее важное значение имеет правильная интерпретация врачами результатов микробиологического анализа, что также требует достаточных знаний о свойствах возбудителей инфекций человека. Многообразие возбудителей бактериальных инфекций не должно быть препятствием на пути рационального контроля за болезнями этой группы.</w:t>
      </w:r>
    </w:p>
    <w:p w:rsidR="00BB0F56" w:rsidRDefault="00BB0F5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Принципы классификации бактерий</w:t>
      </w:r>
    </w:p>
    <w:p w:rsidR="00BB0F56" w:rsidRDefault="00BB0F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Несмотря на широкую распространенность вирусных инфекций, бактерии остаются наиболее часто распознаваемыми этиологическими агентами инфекционных заболеваний. В связи с этим представляются важными вопросы таксономии бактерий – их описания, названия и идентификации. </w:t>
      </w:r>
    </w:p>
    <w:p w:rsidR="00BB0F56" w:rsidRDefault="00BB0F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Взаимосвязь этих понятий схематично представлена на рис.1 [ 1].</w:t>
      </w:r>
    </w:p>
    <w:p w:rsidR="00BB0F56" w:rsidRDefault="00BB0F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B0F56" w:rsidRDefault="006B4AA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9.5pt;height:366.75pt">
            <v:imagedata r:id="rId5" o:title="004_r1"/>
          </v:shape>
        </w:pict>
      </w:r>
    </w:p>
    <w:p w:rsidR="00BB0F56" w:rsidRDefault="00BB0F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Рис. 1. Взаимосвязь между описанием, классификацией и номенклатурой в таксономии прокариотических организмов [ 1].</w:t>
      </w:r>
    </w:p>
    <w:p w:rsidR="00BB0F56" w:rsidRDefault="00BB0F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B0F56" w:rsidRDefault="00BB0F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Биологическая классификация бактерий неоднократно пересматривалась. Но лишь современная классификация, представленная в Руководстве по систематике бактерий Берджи, содержит ясные указания о медицинском значении представителей конкретных таксонов [ 2].</w:t>
      </w:r>
    </w:p>
    <w:p w:rsidR="00BB0F56" w:rsidRDefault="00BB0F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Бактерии представляют по сравнению с вирусами более высокий (клеточный) уровень организации. Они входят в надцарство прокариотических (одноклеточных, "доядерных") микроорганизмов, для которых характерны: –геном в виде кольцевидно замкнутой двухспиральной молекулы ДНК, лежащей непосредственно в цитоплазме клетки; –амитотическое бинарное деление; –размеры в пределах 0,3–2 мкм; –рибосомы 70S; –отсутствие митохондрий, эндоплазматической сети, комплекса Гольджи и хлоропластов; –наличие пептидогликана в клеточной стенке; –широкий спектр вариантов метаболизма и выраженные адаптационные свойства.</w:t>
      </w:r>
    </w:p>
    <w:p w:rsidR="00BB0F56" w:rsidRDefault="00BB0F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Некоторые виды образуют покоящуюся форму – эндоспору (спору).</w:t>
      </w:r>
    </w:p>
    <w:p w:rsidR="00BB0F56" w:rsidRDefault="00BB0F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Основой определения систематического положения являются: морфология и тинкториальные свойства клеток (форма, размеры, взаимное расположение, спорообразование, окраска по методу Грама и другими методами), культуральные, биохимические, антигенные характеристики, а также чувствительность к различным антимикробным воздействиям и степень генетического родства с представителями других таксонов (по процентному соотношению содержания гуанина и цитозина в геноме, гомологии нуклеиновых кислот и способности к обмену генетической информацией).</w:t>
      </w:r>
    </w:p>
    <w:p w:rsidR="00BB0F56" w:rsidRDefault="00BB0F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уровню биологической организации бактерии стоят ниже эукариотических организмов (грибов, простейших, гельминтов), для которых характерно оформленное ядро, набор линейных хромосом с диплоидным набором генов, митотическое деление, половое размножение, сопровождающееся мейозом и кроссинговером, размеры более 2 мкм, рибосомы 80S, митохондрии, эндоплазматическая сеть, комплекс Гольджи, отсутствие эндоспор [ 3].</w:t>
      </w:r>
    </w:p>
    <w:p w:rsidR="00BB0F56" w:rsidRDefault="00BB0F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Несмотря на введение новых методов таксономических исследований, вопрос о полной и всеобъемлющей классификации бактерий остается до конца нерешенным. Даже истинное родство, выявленное по гомологии нуклеиновых кислот, свидетельствует лишь о наличии общего предка и может быть оспоренным.</w:t>
      </w:r>
    </w:p>
    <w:p w:rsidR="00BB0F56" w:rsidRDefault="00BB0F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Наибольшее практическое значение имеют схемы идентификации, основанные на морфофизиологических, тинкториальных, метаболических и других легко выявляемых свойствах бактерий ( рис.2) [ 4]. Определение этих свойств в ходе диагностики позволяет не только выделять и идентифицировать чистые культуры, но и дифференцировать их с представителями сопутствующей микрофлоры, не связанными с заболеванием. Более того, даже начальные этапы исследования могут дать ценную информацию для выбора средств этиотропной терапии. </w:t>
      </w:r>
    </w:p>
    <w:p w:rsidR="00BB0F56" w:rsidRDefault="00BB0F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B0F56" w:rsidRDefault="006B4AA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 id="_x0000_i1026" type="#_x0000_t75" style="width:315pt;height:337.5pt">
            <v:imagedata r:id="rId6" o:title="004_r2"/>
          </v:shape>
        </w:pict>
      </w:r>
    </w:p>
    <w:p w:rsidR="00BB0F56" w:rsidRDefault="00BB0F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Рис. 2. Пример идентификации неизвестного микроорганизма классическими микробиологическими методами [ 4].</w:t>
      </w:r>
    </w:p>
    <w:p w:rsidR="00BB0F56" w:rsidRDefault="00BB0F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B0F56" w:rsidRDefault="00BB0F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Морфология и тинкториальные свойства. По морфологическому принципу бактерии разделяют на шаровидные (кокки), палочковидные (овоидные, коккобациллы, прямые, изогнутые, вибрионы, с закругленными, заостренными, "обрубленными" концами, ветвящиеся, нити) и извитые формы (спиралевидные с одним или более завитками). В зависимости от расположения в микропрепарате различают одиночные, попарно расположенные клетки (диплококки), в виде тетрад (тетракокки), цепочек (стрептококки, стрептобациллы), пакетов (сарцины), беспорядочных скоплений (стафилококки).</w:t>
      </w:r>
    </w:p>
    <w:p w:rsidR="00BB0F56" w:rsidRDefault="00BB0F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Тинкториальными свойствами называют способность воспринимать красители и характерно окрашиваться. Наибольшее значение для идентификации имеет использование сложных (дифференцирующих) методов, в первую очередь метода Грама, позволяющего различить грамположительные и грамотрицательные бактерии. При окраске этим методом грамположительные бактерии окрашиваются в сине-фиолетовый цвет, а грамотрицательные– в бордово-красный, что отражает различия в строении клеточных стенок бактерий двух групп. </w:t>
      </w:r>
    </w:p>
    <w:p w:rsidR="00BB0F56" w:rsidRDefault="00BB0F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основании результатов микроскопии окрашенных по методу Грама препаратов из патологического материала можно ориентировочно судить о составе микрофлоры и степени микробной обсемененности материала, что позволяет выбрать более адекватные методы и средства диагностики и начальной антимикробной терапии. Так, например, при обнаружении стрептококков препаратом выбора должен быть пенициллин [ 5]. Результаты параллельного выделения и идентификации возбудителя с дальнейшим определением чувствительности уточняют сделанный выбор. </w:t>
      </w:r>
    </w:p>
    <w:p w:rsidR="00BB0F56" w:rsidRDefault="00BB0F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 других методов часто используют окраску по Цилю–Нильсену, позволяющую выявить кислотоустойчивые формы бактерии (Mycobacterium spp., Nocardia spp.) и споры (покоящиеся формы). Например, микобактерии туберкулеза окрашиваются в красный цвет, а некислотоустойчивые клетки– в синий. </w:t>
      </w:r>
    </w:p>
    <w:p w:rsidR="00BB0F56" w:rsidRDefault="00BB0F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наличию особых (необязательных) структурных элементов различают бактерии: –спорообразующие (Clostridia spp., Bacillus spp.) и аспорогенные (энтеробактерии и др.); –капсулированные (Klebsiella spp., S.pneumoniae, B.anthracis и др.); –бескапсульные (Vibrio spp., Brucella spp. и др.); –подвижные (образующие жгутики), например многие грамотрицательные палочки; –неподвижные (многие кокки).</w:t>
      </w:r>
    </w:p>
    <w:p w:rsidR="00BB0F56" w:rsidRDefault="00BB0F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Метаболические свойства. Особенности конструктивного и энергетического метаболизма бактерий позволяют выделить несколько групп по типам питания и биологического окисления (дыхания). Различают бактерии: –по типам усвоения углерода – гетеротрофы (используют углерод органических соединений) и аутотрофы (используют углерод неорганических соединений); –по типам дыхания – аэробы (растут на воздухе), анаэробы (растут в бескислородной среде), факультативные анаэробы (растут как в отсутствие, так и в присутствии кислорода), микроаэрофилы (растут при пониженном парциальном давлении кислорода), капнофилы (растут при повышенном парциальном давлении углекислого газа). </w:t>
      </w:r>
    </w:p>
    <w:p w:rsidR="00BB0F56" w:rsidRDefault="00BB0F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Микроорганизмы, использующие для получения энергии в качестве источника электронов органические соединения, называют хемоорганотрофами, неорганические соединения– хемолитотрофами.</w:t>
      </w:r>
    </w:p>
    <w:p w:rsidR="00BB0F56" w:rsidRDefault="00BB0F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Поскольку расщепление глюкозы – универсального источника энергии и органогенов– у бактерий может происходить разными путями, выделяют ферментирующие и неферментирующие бактерии. Для первых характерен бродильный тип метаболизма (перенос электронов в бескислородной среде от источника энергии только на органические соединения, синтезированные клеткой), для вторых– окислительный (перенос электронов через цепь "дыхательных" ферментов на кислород с образованием перекисных соединений).</w:t>
      </w:r>
    </w:p>
    <w:p w:rsidR="00BB0F56" w:rsidRDefault="00BB0F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Среди патогенных для человека преобладают микроорганизмы с окислительным или окислительным и бродильным типом метаболизма (аэробы и факультативные анаэробы соответственно). Большинство клинически значимых видов относят к мезофилам– для них температурный оптимум роста находится в пределах 25–40</w:t>
      </w:r>
      <w:r>
        <w:rPr>
          <w:color w:val="000000"/>
          <w:sz w:val="24"/>
          <w:szCs w:val="24"/>
          <w:vertAlign w:val="superscript"/>
        </w:rPr>
        <w:t>o</w:t>
      </w:r>
      <w:r>
        <w:rPr>
          <w:color w:val="000000"/>
          <w:sz w:val="24"/>
          <w:szCs w:val="24"/>
        </w:rPr>
        <w:t>С (в отличие от психрофилов и термофилов, имеющих соответственно более низкие или более высокие значения оптимума).</w:t>
      </w:r>
    </w:p>
    <w:p w:rsidR="00BB0F56" w:rsidRDefault="00BB0F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способности расти на простых (универсальных) питательных средах (по типу мясопептонного бульона или агара Хоттингера) различают бактерии неприхотливые (Staphylococcus spp., энтеробактерии и др.) и прихотливые (Streptococcus spp., Haemophilus spp., Neisseria spp. и др.).</w:t>
      </w:r>
    </w:p>
    <w:p w:rsidR="00BB0F56" w:rsidRDefault="00BB0F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Прихотливые бактерии могут расти только в присутствии обогащающих среду добавок (крови, ее сыворотки, дрожжевого экстракта и др.), содержащих факторы роста– гемин, витамины, аминокислоты, нуклеотиды, липиды. Бактерии, зависящие от тех или иных факторов роста и неспособные синтезировать какие-либо соединения из глюкозы и солей аммония как единственных источников углерода и азота, называют ауксотрофами. Ауксотрофность характерна для многих патогенных бактерий.</w:t>
      </w:r>
    </w:p>
    <w:p w:rsidR="00BB0F56" w:rsidRDefault="00BB0F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Антигенная структура. По локализации, химической природе и физико-химическим свойствам у бактерий различают антигены нескольких типов: –термостабильный О-антиген (соматический) представлен боковыми полисахаридными цепями липополисахарида клеточной стенки грамотрицательных бактерий; –К-антиген (капсульный, или оболочечный)– термостабильными полисахаридами капсулы или термолабильными белками наружной мембраны грамотрицательных бактерий, а также клеточной стенки и капсулы грамположительных бактерий; –Н-антиген (жгутиковый)– термолабильным белком, флагеллином жгутиков.</w:t>
      </w:r>
    </w:p>
    <w:p w:rsidR="00BB0F56" w:rsidRDefault="00BB0F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Различия в строении указанных антигенов определяют принадлежность к тому или иному антигенному (серологическому) варианту микробного вида. Так, внутри вида E.coli насчитывают десятки серогрупп и сероваров, которые имеют специальные обозначения, например E.coli О157:Н7 (возбудитель геморрагического колита с гемолитико-уремическим синдромом).</w:t>
      </w:r>
    </w:p>
    <w:p w:rsidR="00BB0F56" w:rsidRDefault="00BB0F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Патогенность и вирулентность. Как и у других микроорганизмов, бактериальные виды подразделяют на безусловно-патогенные (возбудители классических инфекций), условно-патогенные или потенциально патогенные (возбудители оппортунистических инфекций) и непатогенные для человека (не имеют медицинского значения).</w:t>
      </w:r>
    </w:p>
    <w:p w:rsidR="00BB0F56" w:rsidRDefault="00BB0F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первые не встречаются в составе микрофлоры здорового человека и при попадании в его организм, как правило, вызывают развитие инфекции, то вторые часто обнаруживаются у здоровых людей и вызывают инфекционный процесс лишь при особых условиях (дефект или общее снижение антиинфекционной резистентности организма, массивность заражения и др.).</w:t>
      </w:r>
    </w:p>
    <w:p w:rsidR="00BB0F56" w:rsidRDefault="00BB0F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степени опасности для человека и общества в нашей стране бактерии относят к 4 группам (в порядке убывания опасности): –I– возбудитель чумы; –II– возбудители холеры, сибирской язвы, бруцеллеза и других "особо опасных инфекций"; –III– возбудители туберкулеза, дифтерии, брюшного тифа и других классических инфекций; –IV– стафилококки, клостридии, протеи и другие возбудители оппортунистических инфекций [ 6].</w:t>
      </w:r>
    </w:p>
    <w:p w:rsidR="00BB0F56" w:rsidRDefault="00BB0F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мере накопления соответствующей информации принадлежность видов к той или иной группе может пересматриваться.</w:t>
      </w:r>
    </w:p>
    <w:p w:rsidR="00BB0F56" w:rsidRDefault="00BB0F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зависимости от фенотипической выраженности патогенного потенциала конкретный представитель (штамм, клон, вариант) патогенного или условно-патогенного бактериального вида может быть высоко-, умеренно- или маловирулентным.</w:t>
      </w:r>
    </w:p>
    <w:p w:rsidR="00BB0F56" w:rsidRDefault="00BB0F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Вирулентность складывается из патогенных свойств штамма: адгезивности, инвазивности, персистентных характеристик, цитотоксичности, токсигенности и других свойств. Изменение вирулентности штамма может быть следствием приобретения или утраты факторов патогенности: капсулы, белков адгезинов и инвазинов, токсинов и других структур и веществ микроба, обеспечивающих возникновение и развитие инфекции. На практике при решении вопроса об этиологической или эпидемиологической значимости того или иного штамма нередко приходится учитывать выраженность его патогенных свойств, наличие конкретных факторов патогенности и/или соответствующих генетических детерминант (например, токсигенные и нетоксигенные дифтерийные палочки, высоко- и низкоинвазивные иерсинии).</w:t>
      </w:r>
    </w:p>
    <w:p w:rsidR="00BB0F56" w:rsidRDefault="00BB0F5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Систематизация бактерий в Определителе Берджи</w:t>
      </w:r>
    </w:p>
    <w:p w:rsidR="00BB0F56" w:rsidRDefault="00BB0F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Принципы идентификации, изложенные в Определителе бактерий Берджи, 9-е издание которого вышло в 1994г. [ 7], нашли наибольшее распространение в практической бактериологии. В соответствии с ними (на основе строения клеточной стенки и отношения к окраске по Граму) бактерии разделены на 35 групп, входящих в 4 категории: I – грамотрицательные эубактерии; II – грамположительные эубактерии; III – эубактерии, лишенные клеточной стенки – микоплазмы (Mollicutes); IV – археобактерии (Archaea). </w:t>
      </w:r>
    </w:p>
    <w:p w:rsidR="00BB0F56" w:rsidRDefault="00BB0F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Патогенные для человека виды относятся к эубактериям (I–III). В  табл.1 приведены названия 14 групп, к которым относят бактерии, имеющие медицинское значение [ 2, 7, 8, 9]. Далеко не все представители перечисленных родов имеют медицинское значение. Поэтому на практике необходимо учитывать не только родовую и видовую принадлежность выделенного микроорганизма, но в ряде случаев и патогенный потенциал штамма (например, принадлежность E.coli к определенному патогенному варианту), локализацию его в организме и степень обсеменности им клинического материала.</w:t>
      </w:r>
    </w:p>
    <w:p w:rsidR="00BB0F56" w:rsidRDefault="00BB0F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этим приводим данные о частоте обнаружения бактериальных видов в различных биотопах организма человека и их этиологической значимости при соответствующих локальных инфекциях ( табл.2) [ 9]. Конечно, эти сведения будут уточняться по мере накопления клинических данных и результатов таксономических исследований.</w:t>
      </w:r>
    </w:p>
    <w:p w:rsidR="00BB0F56" w:rsidRDefault="00BB0F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B0F56" w:rsidRDefault="00BB0F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1. Основные патогенные и условно-патогенные для человека бактерии [ 2, 6, 9, 10, 11, 12].</w:t>
      </w:r>
    </w:p>
    <w:tbl>
      <w:tblPr>
        <w:tblW w:w="5000" w:type="pct"/>
        <w:tblCellSpacing w:w="0" w:type="dxa"/>
        <w:tblInd w:w="13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8"/>
      </w:tblGrid>
      <w:tr w:rsidR="00BB0F56" w:rsidRPr="00BB0F5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907B"/>
          </w:tcPr>
          <w:tbl>
            <w:tblPr>
              <w:tblW w:w="5000" w:type="pct"/>
              <w:tblCellSpacing w:w="7" w:type="dxa"/>
              <w:tblInd w:w="8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3853"/>
              <w:gridCol w:w="5769"/>
            </w:tblGrid>
            <w:tr w:rsidR="00BB0F56" w:rsidRPr="00BB0F56">
              <w:trPr>
                <w:tblCellSpacing w:w="7" w:type="dxa"/>
              </w:trPr>
              <w:tc>
                <w:tcPr>
                  <w:tcW w:w="2000" w:type="pct"/>
                  <w:shd w:val="clear" w:color="auto" w:fill="E9D9B9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</w:rPr>
                    <w:t>Группа (категория)</w:t>
                  </w:r>
                </w:p>
              </w:tc>
              <w:tc>
                <w:tcPr>
                  <w:tcW w:w="3000" w:type="pct"/>
                  <w:shd w:val="clear" w:color="auto" w:fill="E9D9B9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</w:rPr>
                    <w:t>Таксоны</w:t>
                  </w: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 xml:space="preserve">1(I) </w:t>
                  </w:r>
                  <w:r w:rsidRPr="00BB0F56">
                    <w:rPr>
                      <w:color w:val="000000"/>
                      <w:sz w:val="24"/>
                      <w:szCs w:val="24"/>
                    </w:rPr>
                    <w:t>Спирохеты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</w:rPr>
                    <w:t>Роды</w:t>
                  </w: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 xml:space="preserve"> Treponema, Borrelia, Leptospira</w:t>
                  </w: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</w:rPr>
                    <w:t>2(II) Аэробные и микроаэрофильные, подвижные, спиральные и изогнутые грамотрицательные бактерии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</w:rPr>
                    <w:t>Роды</w:t>
                  </w: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 xml:space="preserve"> Campylobacter, Helicobacter, Spirillum, Wolinella</w:t>
                  </w: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</w:rPr>
                    <w:t>4(I) Грамотрицательные, аэробные и микроаэрофильные палочки и кокки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</w:rPr>
                    <w:t>Роды</w:t>
                  </w: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 xml:space="preserve"> Achromobacter, Acinetobacter, Agrobacterium, Afipia, Alcaligenes, Bartonella, Bordetella, Brucella *, Burkholderia *, Flaviomonas, Flavobacterium, Francisella *, Kingella, Legionella, Moraxela, Morococcus, Neisseria, Pseudomonas, Stenotrophomonas</w:t>
                  </w: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</w:rPr>
                    <w:t>5(I) Факультативно-анаэробные грамотрицательные палочки: семейства энтеробактерий(1), вибрионов(2), пастерелл(3), и не отнесенные к ним роды(4)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 xml:space="preserve">1. </w:t>
                  </w:r>
                  <w:r w:rsidRPr="00BB0F56">
                    <w:rPr>
                      <w:color w:val="000000"/>
                      <w:sz w:val="24"/>
                      <w:szCs w:val="24"/>
                    </w:rPr>
                    <w:t>Роды</w:t>
                  </w: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 xml:space="preserve"> Cedecea, Citrobacter, Edwardsiella, Enterobacter, Escherihia, Ewingella, Hafnia, Klebsiella, Kluyvera, Leclercia, Morganella, Pantoea, Proteus, Providencia, Salmonella, Serratia, Shigella, Tatumella, Yersinia * 2. </w:t>
                  </w:r>
                  <w:r w:rsidRPr="00BB0F56">
                    <w:rPr>
                      <w:color w:val="000000"/>
                      <w:sz w:val="24"/>
                      <w:szCs w:val="24"/>
                    </w:rPr>
                    <w:t>Роды</w:t>
                  </w: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 xml:space="preserve"> Aeromonas, Plesiomonas, Vibrio * 3. </w:t>
                  </w:r>
                  <w:r w:rsidRPr="00BB0F56">
                    <w:rPr>
                      <w:color w:val="000000"/>
                      <w:sz w:val="24"/>
                      <w:szCs w:val="24"/>
                    </w:rPr>
                    <w:t>Роды</w:t>
                  </w: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 xml:space="preserve"> Actinobacillus, Haemophilus, Pasteurella 4. </w:t>
                  </w:r>
                  <w:r w:rsidRPr="00BB0F56">
                    <w:rPr>
                      <w:color w:val="000000"/>
                      <w:sz w:val="24"/>
                      <w:szCs w:val="24"/>
                    </w:rPr>
                    <w:t>Роды</w:t>
                  </w: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 xml:space="preserve"> Calymmatobacterium, Capnocytophaga, Cardiobacterium, Chromobacterium, Eikenella, Gardenella, Streptobacillus</w:t>
                  </w: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</w:rPr>
                    <w:t>6(I) Грамотрицательные анаэробные прямые, изогнутые и спиральные бактерии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</w:rPr>
                    <w:t>Роды</w:t>
                  </w: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 xml:space="preserve"> Anaerobiospirrilum, Anaerorhabdus, Bacteroides, Bilophila, Fusobacterium, Porphyromonas, Prevotella</w:t>
                  </w: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</w:rPr>
                    <w:t>8(I) Анаэробные грамотрицательные кокки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</w:rPr>
                    <w:t>Род Veillonella</w:t>
                  </w: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</w:rPr>
                    <w:t>9(I) Риккетсии и хламидии: семейства риккетсий(1) и хламидий(2)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1. Coxiella *, Ehrlichia, Rickettsia * 2. Chlamydia, Chlamydophila</w:t>
                  </w: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 xml:space="preserve">17(II) </w:t>
                  </w:r>
                  <w:r w:rsidRPr="00BB0F56">
                    <w:rPr>
                      <w:color w:val="000000"/>
                      <w:sz w:val="24"/>
                      <w:szCs w:val="24"/>
                    </w:rPr>
                    <w:t>Грамположительные</w:t>
                  </w: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BB0F56">
                    <w:rPr>
                      <w:color w:val="000000"/>
                      <w:sz w:val="24"/>
                      <w:szCs w:val="24"/>
                    </w:rPr>
                    <w:t>кокки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</w:rPr>
                    <w:t>Роды</w:t>
                  </w: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 xml:space="preserve"> Aerococcus, Enterococcus, Gemella, Leuconostoc, Peptococcus, Peptostreptococcus, Staphylococcus, Streptococcus</w:t>
                  </w: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</w:rPr>
                    <w:t>18(II) Грамположительные палочки и кокки, образующие эндоспоры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</w:rPr>
                    <w:t>Роды</w:t>
                  </w: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 xml:space="preserve"> Bacillus *, Clostridium</w:t>
                  </w: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</w:rPr>
                    <w:t>19(II) Не образующие спор грамположительные палочки правильной формы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</w:rPr>
                    <w:t>Роды</w:t>
                  </w: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 xml:space="preserve"> Erysipelothrix, Listeria</w:t>
                  </w: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</w:rPr>
                    <w:t>20(II) Не образующие спор грамположительные палочки неправильной формы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</w:rPr>
                    <w:t>Роды</w:t>
                  </w: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 xml:space="preserve"> Actynomyces, Arcanobacterium, Bifidobacterium, Corinebacterium, Eubacterium, Gardnerella, Lactobacillus, Mobiluncus, Propionibacterium, Rothia</w:t>
                  </w: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</w:rPr>
                    <w:t>21(II) Микобактерии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</w:rPr>
                    <w:t>Род Mycobacterium</w:t>
                  </w: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</w:rPr>
                    <w:t>22, 25, 26(II) Актиномицеты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</w:rPr>
                    <w:t>Роды Actinomadura, Gordona, Nocardia, Oerskovia, Rhodococcus, Streptomyces, Tsukamurella</w:t>
                  </w: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</w:rPr>
                    <w:t>30(III) Микоплазмы (или молликуты)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</w:rPr>
                    <w:t>Роды</w:t>
                  </w: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 xml:space="preserve"> Mycoplasma, Ureaplasma</w:t>
                  </w:r>
                </w:p>
              </w:tc>
            </w:tr>
          </w:tbl>
          <w:p w:rsidR="00BB0F56" w:rsidRPr="00BB0F56" w:rsidRDefault="00BB0F56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BB0F56" w:rsidRDefault="00BB0F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Примечание. Подчеркнуты роды, содержащие один или несколько безусловно-патогенных видов (вариантов).</w:t>
      </w:r>
    </w:p>
    <w:p w:rsidR="00BB0F56" w:rsidRDefault="00BB0F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Отмечены роды, в состав которых входит один или несколько возбудителей особо опасных инфекций.</w:t>
      </w:r>
    </w:p>
    <w:p w:rsidR="00BB0F56" w:rsidRDefault="00BB0F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BB0F56" w:rsidRDefault="00BB0F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2. Частота обнаружения различных бактериальных видов в материале из различных биотопов тела человека и их этиологическое значение [ 9, сдополнениями].</w:t>
      </w:r>
    </w:p>
    <w:tbl>
      <w:tblPr>
        <w:tblW w:w="5000" w:type="pct"/>
        <w:tblCellSpacing w:w="0" w:type="dxa"/>
        <w:tblInd w:w="13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8"/>
      </w:tblGrid>
      <w:tr w:rsidR="00BB0F56" w:rsidRPr="00BB0F5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907B"/>
          </w:tcPr>
          <w:tbl>
            <w:tblPr>
              <w:tblW w:w="5000" w:type="pct"/>
              <w:tblCellSpacing w:w="7" w:type="dxa"/>
              <w:tblInd w:w="8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3255"/>
              <w:gridCol w:w="1060"/>
              <w:gridCol w:w="1060"/>
              <w:gridCol w:w="1060"/>
              <w:gridCol w:w="1060"/>
              <w:gridCol w:w="1060"/>
              <w:gridCol w:w="1067"/>
            </w:tblGrid>
            <w:tr w:rsidR="00BB0F56" w:rsidRPr="00BB0F56">
              <w:trPr>
                <w:cantSplit/>
                <w:tblCellSpacing w:w="7" w:type="dxa"/>
              </w:trPr>
              <w:tc>
                <w:tcPr>
                  <w:tcW w:w="1700" w:type="pct"/>
                  <w:vMerge w:val="restart"/>
                  <w:shd w:val="clear" w:color="auto" w:fill="E9D9B9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</w:rPr>
                    <w:t>Бактерии</w:t>
                  </w:r>
                </w:p>
              </w:tc>
              <w:tc>
                <w:tcPr>
                  <w:tcW w:w="3300" w:type="pct"/>
                  <w:gridSpan w:val="6"/>
                  <w:shd w:val="clear" w:color="auto" w:fill="E9D9B9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</w:rPr>
                    <w:t>Частота обнаружения и этиологическое значение*</w:t>
                  </w:r>
                </w:p>
              </w:tc>
            </w:tr>
            <w:tr w:rsidR="00BB0F56" w:rsidRPr="00BB0F56">
              <w:trPr>
                <w:cantSplit/>
                <w:tblCellSpacing w:w="7" w:type="dxa"/>
              </w:trPr>
              <w:tc>
                <w:tcPr>
                  <w:tcW w:w="0" w:type="auto"/>
                  <w:vMerge/>
                  <w:vAlign w:val="center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0" w:type="pct"/>
                  <w:shd w:val="clear" w:color="auto" w:fill="E9D9B9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</w:rPr>
                    <w:t>РТ</w:t>
                  </w:r>
                </w:p>
              </w:tc>
              <w:tc>
                <w:tcPr>
                  <w:tcW w:w="550" w:type="pct"/>
                  <w:shd w:val="clear" w:color="auto" w:fill="E9D9B9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</w:rPr>
                    <w:t>ЖКТ</w:t>
                  </w:r>
                </w:p>
              </w:tc>
              <w:tc>
                <w:tcPr>
                  <w:tcW w:w="550" w:type="pct"/>
                  <w:shd w:val="clear" w:color="auto" w:fill="E9D9B9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</w:rPr>
                    <w:t>МПТ</w:t>
                  </w:r>
                </w:p>
              </w:tc>
              <w:tc>
                <w:tcPr>
                  <w:tcW w:w="550" w:type="pct"/>
                  <w:shd w:val="clear" w:color="auto" w:fill="E9D9B9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</w:rPr>
                    <w:t>КР</w:t>
                  </w:r>
                </w:p>
              </w:tc>
              <w:tc>
                <w:tcPr>
                  <w:tcW w:w="550" w:type="pct"/>
                  <w:shd w:val="clear" w:color="auto" w:fill="E9D9B9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550" w:type="pct"/>
                  <w:shd w:val="clear" w:color="auto" w:fill="E9D9B9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</w:rPr>
                    <w:t>У</w:t>
                  </w: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Achromobacter xylosoxidans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C 1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C 2</w:t>
                  </w: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Acidaminococcus fermentans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C 1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Acinetobacter spp.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Actinobacillus actinomycetemcomitans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C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Actinomadura madurae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C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Actinomyces spp.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A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C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Aerococcus viridans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1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Aeromonas spp.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Agrobacterium tumefaciens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C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C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Alcaligenes spp.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C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Alloiococcus otitidis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C 2</w:t>
                  </w: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Anaerobiospirillum succiniproducens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c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Arachnia propionica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1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Arcanobacterium haemolyticum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3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C2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Azotobacter spp.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C 1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Bacillus anthracis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C 3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C 3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C 3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Bacillus spp.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1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C 1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1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Bacteroides spp.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A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A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A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C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C 2</w:t>
                  </w: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Bartonella spp.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C 3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Bifidobacterium spp.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1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1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C 1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C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C 2</w:t>
                  </w: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Bilophila wadsworthia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C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Bordetella pertussis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3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Borrelia spp.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1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Brucella spp.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C 3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C 3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Calymmatobacterium granulomatis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C 3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Campylobacter spp.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1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3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C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Capnocytophaga spp.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Cardiobacterium hominis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1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Chlamydia psittaci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3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Chlamidia trachomatis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C 3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3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3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Chlamydophila pneumoniae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3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Clostridium spp.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A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A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C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C 2</w:t>
                  </w: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Corinebacterium diphtheriae (</w:t>
                  </w:r>
                  <w:r w:rsidRPr="00BB0F56">
                    <w:rPr>
                      <w:color w:val="000000"/>
                      <w:sz w:val="24"/>
                      <w:szCs w:val="24"/>
                    </w:rPr>
                    <w:t>токсигенные</w:t>
                  </w: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)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C 3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C 3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C 3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C 3</w:t>
                  </w: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Corynebacterium spp.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1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1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C 1</w:t>
                  </w: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Coxiella burnetii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C 3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Eikenella corrodens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C 3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Enterobacteriaceae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A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A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Enterococcus spp.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C 1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A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Erysipelothrix spp.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C 3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Eubacterium spp.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A 1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C 1</w:t>
                  </w: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Flavobacterium spp.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C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C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Francisella tularensis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C 3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C 3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Fusobacterium spp.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A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A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1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C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C 2</w:t>
                  </w: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Gardnerella vaginalis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Gemella spp.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1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Haemophilus influenzae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A 3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C 3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3</w:t>
                  </w: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 xml:space="preserve">Haemophilus influenzae </w:t>
                  </w:r>
                  <w:r w:rsidRPr="00BB0F56">
                    <w:rPr>
                      <w:color w:val="000000"/>
                      <w:sz w:val="24"/>
                      <w:szCs w:val="24"/>
                    </w:rPr>
                    <w:t>биовар</w:t>
                  </w: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III (H.aegyptius)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3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Haemophilus ducreyi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3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Haemophilus spp.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A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Helicobacter pylori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3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Kingella spp.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C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Lactobacillus spp.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1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A 1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A 1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C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Legionella spp.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Leptospira interrogans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C 3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Leptospira spp.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C 3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C 3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Leptotrichia buccalis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1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Listeria spp.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C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C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Micrococcus spp.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A 1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A 1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Mobiluncus spp.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Moraxella catarrhalis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C 1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1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Moraxella spp.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1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1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C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Mycobacterium spp.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C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C 2</w:t>
                  </w: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Mycobacterium tuberculosis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3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C 3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Mycoplasma hominis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Mycoplasma pneumoniae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Neisseria gonorrhoeae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C 3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C 3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3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3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Neisseria meningitidis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C 3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3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Neisseria spp.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A 1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1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1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1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Nocardia spp.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3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C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C 3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Pasteurella spp.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C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C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Pediococcus spp.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C 1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Peptococcus spp.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A 1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C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C 2</w:t>
                  </w: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Peptostreptococcus spp.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A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1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C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C 2</w:t>
                  </w: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Plesiomonas shigelloides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C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C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Porphyromonas spp.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A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A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A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Prevotella spp.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A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A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A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Propionibacterium spp.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1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A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Pseudomonas aeruginosa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Pseudomonas spp.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3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Rhodococcus spp.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C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C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Rickettsia spp.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C 3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3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Rothia dentocariosa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1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Ruminococcus bromii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C 1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Selemonas spp.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C 1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1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Spirillum minus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C 3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Staphylococcus spp.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A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A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A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A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Stenotrophomonas maltophilia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C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Stomatococcus mucilaginosus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1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Streptobacillus moniliformis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C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Streptococcus pneumoniae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C 3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3</w:t>
                  </w: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Streptococcus pyogenes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3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Streptococcus spp.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A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Streptomyces somaliensis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C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Succinimonas spp.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1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Succinivibrio spp.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1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Treponema pallidum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3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3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Treponema spp.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3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Ureaplasma urealyticum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1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Veilonella spp.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A 1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C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C 2</w:t>
                  </w: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Vibrio spp.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1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B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C 2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C 2</w:t>
                  </w:r>
                </w:p>
              </w:tc>
            </w:tr>
            <w:tr w:rsidR="00BB0F56" w:rsidRPr="00BB0F56">
              <w:trPr>
                <w:tblCellSpacing w:w="7" w:type="dxa"/>
              </w:trPr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  <w:lang w:val="en-US"/>
                    </w:rPr>
                    <w:t>Wolinella recta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B0F56">
                    <w:rPr>
                      <w:color w:val="000000"/>
                      <w:sz w:val="24"/>
                      <w:szCs w:val="24"/>
                    </w:rPr>
                    <w:t>B 1</w:t>
                  </w: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CE6BC"/>
                </w:tcPr>
                <w:p w:rsidR="00BB0F56" w:rsidRPr="00BB0F56" w:rsidRDefault="00BB0F56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B0F56" w:rsidRPr="00BB0F56" w:rsidRDefault="00BB0F56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BB0F56" w:rsidRDefault="00BB0F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Примечание. РТ– респираторный тракт, ЖКТ– желудочно-кишечный тракт, МПТ– мочеполовой тракт, КР– кожа и раневое отделяемое, Г– глаза, У– уши; A– часто присутствуют в клиническом материале, B– изредка присутствуют в клиническом материале, C– редко присутствуют в клиническом материале; 1– редко (если когда-либо) имеют этиологическое значение, 2– иногда бывают причиной заболевания, 3– обычно бывают причиной заболевания.</w:t>
      </w:r>
    </w:p>
    <w:p w:rsidR="00BB0F56" w:rsidRDefault="00BB0F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отношении системных инфекций следует отметить, что у здоровых лиц кровь, ликвор и внутренние органы, не сообщающиеся с внешней средой, обычно стерильны, и обнаружение тех или иных бактерий в соответствующем клиническом материале обычно считается клинически значимым. Несмотря на отсутствие общей закономерности в присутствии тех или иных бактериальных видов, есть наблюдения, свидетельствующие о преобладании в указанных материалах определенных микроорганизмов при различных клинических ситуациях. </w:t>
      </w:r>
    </w:p>
    <w:p w:rsidR="00BB0F56" w:rsidRDefault="00BB0F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Так, из крови при лихорадке неясного происхождения нередко высевают сальмонеллы, пневмококки, бруцеллы, менингококки, пастереллы, листерии, при бактериальных эндокардитах – зеленящие стрептококки, энтерококки, стафилококки, коринебактерии, в случае бактериемии на 1-й неделе жизни– Streptococcus agalactiae, E.coli и S.aureus, после травм или операций на брюшной полости – грамотрицательные палочки (энтеробактерии, облигатные анаэробы кишечника, псевдомонады).</w:t>
      </w:r>
    </w:p>
    <w:p w:rsidR="00BB0F56" w:rsidRDefault="00BB0F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менингите в ликворе помимо менингококков могут быть обнаружены пневмококки, Haemophilus influenzae, листерии, сальмонеллы, возбудители туберкулеза, у новорожденных при септицемии и менингите– S.agalactiae, грамотрицательные палочки и листерии. При внутричерепных абсцессах преобладают анаэробы (пептострептококки, бактероиды и близкородственные бактерии, актиномицеты), а из аэробов чаще обнаруживаются стрептококки [ 9].</w:t>
      </w:r>
    </w:p>
    <w:p w:rsidR="00BB0F56" w:rsidRDefault="00BB0F5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Заключение</w:t>
      </w:r>
    </w:p>
    <w:p w:rsidR="00BB0F56" w:rsidRDefault="00BB0F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Вопросы классификации и номенклатуры бактерий важны не только для специалистов в области таксономии, основной задачей которых является уточнение систематического положения и филогенетической близости видов. Они определяют практические подходы к выделению и идентификации микроорганизмов, имеющих медицинское значение, проведению адекватной антимикробной терапии и профилактики, обеспечивают унификацию терминов и понятий. Без этого невозможно эффективное взаимодействие врачей разных специальностей, имеющих дело с проявлениями инфекционного процесса.</w:t>
      </w:r>
    </w:p>
    <w:p w:rsidR="00BB0F56" w:rsidRDefault="00BB0F5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BB0F56" w:rsidRDefault="00BB0F5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LengelerJ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lang w:val="en-US"/>
        </w:rPr>
        <w:t>W</w:t>
      </w:r>
      <w:r>
        <w:rPr>
          <w:color w:val="000000"/>
          <w:sz w:val="24"/>
          <w:szCs w:val="24"/>
        </w:rPr>
        <w:t xml:space="preserve">., </w:t>
      </w:r>
      <w:r>
        <w:rPr>
          <w:color w:val="000000"/>
          <w:sz w:val="24"/>
          <w:szCs w:val="24"/>
          <w:lang w:val="en-US"/>
        </w:rPr>
        <w:t>DrewsG</w:t>
      </w:r>
      <w:r>
        <w:rPr>
          <w:color w:val="000000"/>
          <w:sz w:val="24"/>
          <w:szCs w:val="24"/>
        </w:rPr>
        <w:t xml:space="preserve">., </w:t>
      </w:r>
      <w:r>
        <w:rPr>
          <w:color w:val="000000"/>
          <w:sz w:val="24"/>
          <w:szCs w:val="24"/>
          <w:lang w:val="en-US"/>
        </w:rPr>
        <w:t>SchlegelH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lang w:val="en-US"/>
        </w:rPr>
        <w:t>G</w:t>
      </w:r>
      <w:r>
        <w:rPr>
          <w:color w:val="000000"/>
          <w:sz w:val="24"/>
          <w:szCs w:val="24"/>
        </w:rPr>
        <w:t xml:space="preserve">., </w:t>
      </w:r>
      <w:r>
        <w:rPr>
          <w:color w:val="000000"/>
          <w:sz w:val="24"/>
          <w:szCs w:val="24"/>
          <w:lang w:val="en-US"/>
        </w:rPr>
        <w:t>editors</w:t>
      </w:r>
      <w:r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  <w:lang w:val="en-US"/>
        </w:rPr>
        <w:t>Biology of the Procaryotes. 1st ed. New York: Thieme; 1999.</w:t>
      </w:r>
    </w:p>
    <w:p w:rsidR="00BB0F56" w:rsidRDefault="00BB0F5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HoltJ.G., editor. Bergey`s manual of systematic bacteriology. 1st ed. Baltimor: Williams&amp;Wilkins; 1986.</w:t>
      </w:r>
    </w:p>
    <w:p w:rsidR="00BB0F56" w:rsidRDefault="00BB0F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Медицинская микробиология. Гл. ред. В.И.Покровский, О.К.Поздеев. М.: ГЭОТАР Медицина; 1998.</w:t>
      </w:r>
    </w:p>
    <w:p w:rsidR="00BB0F56" w:rsidRDefault="00BB0F5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MadiganM.T., MartinkoJ.M., ParkerJ., editors. Biology of microorganisms. 8</w:t>
      </w:r>
      <w:r>
        <w:rPr>
          <w:color w:val="000000"/>
          <w:sz w:val="24"/>
          <w:szCs w:val="24"/>
          <w:vertAlign w:val="superscript"/>
          <w:lang w:val="en-US"/>
        </w:rPr>
        <w:t>th</w:t>
      </w:r>
      <w:r>
        <w:rPr>
          <w:color w:val="000000"/>
          <w:sz w:val="24"/>
          <w:szCs w:val="24"/>
          <w:lang w:val="en-US"/>
        </w:rPr>
        <w:t>ed. New Jersey: Simon&amp;Schuster; 1997.</w:t>
      </w:r>
    </w:p>
    <w:p w:rsidR="00BB0F56" w:rsidRDefault="00BB0F5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GilbertD.N., MoelleringR.C., SandeM.A., editors. The Sanford guide to antimicrobial therapy. 29</w:t>
      </w:r>
      <w:r>
        <w:rPr>
          <w:color w:val="000000"/>
          <w:sz w:val="24"/>
          <w:szCs w:val="24"/>
          <w:vertAlign w:val="superscript"/>
          <w:lang w:val="en-US"/>
        </w:rPr>
        <w:t>th</w:t>
      </w:r>
      <w:r>
        <w:rPr>
          <w:color w:val="000000"/>
          <w:sz w:val="24"/>
          <w:szCs w:val="24"/>
          <w:lang w:val="en-US"/>
        </w:rPr>
        <w:t>ed. Hyde Park: Antimicrobial Therapy, Inc.; 1999.</w:t>
      </w:r>
    </w:p>
    <w:p w:rsidR="00BB0F56" w:rsidRDefault="00BB0F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Порядок учета, хранения, передачи и транспортирования микроорганизмов I–IV групп патогенности. 1.2.Эпидемиология. Санитарные правила СП 1.2.036–95. М.: Госкомсанэпиднадзор России; 1996.</w:t>
      </w:r>
    </w:p>
    <w:p w:rsidR="00BB0F56" w:rsidRDefault="00BB0F5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HoltJ.G., editor. Bergey`s manual of determinative bacteriology. 9</w:t>
      </w:r>
      <w:r>
        <w:rPr>
          <w:color w:val="000000"/>
          <w:sz w:val="24"/>
          <w:szCs w:val="24"/>
          <w:vertAlign w:val="superscript"/>
          <w:lang w:val="en-US"/>
        </w:rPr>
        <w:t>th</w:t>
      </w:r>
      <w:r>
        <w:rPr>
          <w:color w:val="000000"/>
          <w:sz w:val="24"/>
          <w:szCs w:val="24"/>
          <w:lang w:val="en-US"/>
        </w:rPr>
        <w:t>ed. Baltimor: Williams&amp;Wilkins; 1994.</w:t>
      </w:r>
    </w:p>
    <w:p w:rsidR="00BB0F56" w:rsidRDefault="00BB0F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Определитель бактерий Берджи. Под ред. Дж.Хоулта, Н.Крига, П.Снита, Дж.Стейли, С.Уильямса. 9-е изд. В 2 т. Пер. с англ. под ред. Г.А.Заварзина. М.: Мир; 1997.</w:t>
      </w:r>
    </w:p>
    <w:p w:rsidR="00BB0F56" w:rsidRDefault="00BB0F5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MurrayP.R., BaronE.J., PfallerM.A., TenoverF.C., YolkenR.H., editors. Manual of clinical microbiology. 6</w:t>
      </w:r>
      <w:r>
        <w:rPr>
          <w:color w:val="000000"/>
          <w:sz w:val="24"/>
          <w:szCs w:val="24"/>
          <w:vertAlign w:val="superscript"/>
          <w:lang w:val="en-US"/>
        </w:rPr>
        <w:t>th</w:t>
      </w:r>
      <w:r>
        <w:rPr>
          <w:color w:val="000000"/>
          <w:sz w:val="24"/>
          <w:szCs w:val="24"/>
          <w:lang w:val="en-US"/>
        </w:rPr>
        <w:t>ed. Washington, D.C.: ASM Press; 1995.</w:t>
      </w:r>
    </w:p>
    <w:p w:rsidR="00BB0F56" w:rsidRDefault="00BB0F5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BrucknerD.A., ColonnaP., BearsonB.L. Nomenclature for aerobic and facultative bacteria. Clin Infect Dis 1999; 29:713-23.</w:t>
      </w:r>
    </w:p>
    <w:p w:rsidR="00BB0F56" w:rsidRDefault="00BB0F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ЭйдельштейнИ.А. Фундаментальные изменения в классификации хламидий и родственных им микроорганизмов порядка Chlamydiales. Клин микробиол и антимикроб химиотер 1999; 1:5-11.</w:t>
      </w:r>
    </w:p>
    <w:p w:rsidR="00BB0F56" w:rsidRDefault="00BB0F5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BalowsA., TruperH.G., DworkinM., HarderW., SchleiferK.H., editors. The Prokaryotes. 2</w:t>
      </w:r>
      <w:r>
        <w:rPr>
          <w:color w:val="000000"/>
          <w:sz w:val="24"/>
          <w:szCs w:val="24"/>
          <w:vertAlign w:val="superscript"/>
          <w:lang w:val="en-US"/>
        </w:rPr>
        <w:t>nd</w:t>
      </w:r>
      <w:r>
        <w:rPr>
          <w:color w:val="000000"/>
          <w:sz w:val="24"/>
          <w:szCs w:val="24"/>
          <w:lang w:val="en-US"/>
        </w:rPr>
        <w:t>ed. New York: Springer-Verlag; 1992.</w:t>
      </w:r>
    </w:p>
    <w:p w:rsidR="00BB0F56" w:rsidRDefault="00BB0F5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</w:p>
    <w:p w:rsidR="00BB0F56" w:rsidRDefault="00BB0F5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bookmarkStart w:id="0" w:name="_GoBack"/>
      <w:bookmarkEnd w:id="0"/>
    </w:p>
    <w:sectPr w:rsidR="00BB0F56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30311"/>
    <w:multiLevelType w:val="hybridMultilevel"/>
    <w:tmpl w:val="B376680C"/>
    <w:lvl w:ilvl="0" w:tplc="312602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16EF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D84F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3674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BAE2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B8F8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D67D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9EF7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18A6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0"/>
    <w:lvlOverride w:ilvl="0">
      <w:startOverride w:val="5"/>
    </w:lvlOverride>
  </w:num>
  <w:num w:numId="6">
    <w:abstractNumId w:val="0"/>
    <w:lvlOverride w:ilvl="0">
      <w:startOverride w:val="6"/>
    </w:lvlOverride>
  </w:num>
  <w:num w:numId="7">
    <w:abstractNumId w:val="0"/>
    <w:lvlOverride w:ilvl="0">
      <w:startOverride w:val="7"/>
    </w:lvlOverride>
  </w:num>
  <w:num w:numId="8">
    <w:abstractNumId w:val="0"/>
    <w:lvlOverride w:ilvl="0">
      <w:startOverride w:val="8"/>
    </w:lvlOverride>
  </w:num>
  <w:num w:numId="9">
    <w:abstractNumId w:val="0"/>
    <w:lvlOverride w:ilvl="0">
      <w:startOverride w:val="9"/>
    </w:lvlOverride>
  </w:num>
  <w:num w:numId="10">
    <w:abstractNumId w:val="0"/>
    <w:lvlOverride w:ilvl="0">
      <w:startOverride w:val="10"/>
    </w:lvlOverride>
  </w:num>
  <w:num w:numId="11">
    <w:abstractNumId w:val="0"/>
    <w:lvlOverride w:ilvl="0">
      <w:startOverride w:val="11"/>
    </w:lvlOverride>
  </w:num>
  <w:num w:numId="12">
    <w:abstractNumId w:val="0"/>
    <w:lvlOverride w:ilvl="0">
      <w:startOverride w:val="1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722C"/>
    <w:rsid w:val="0049722C"/>
    <w:rsid w:val="006B4AA8"/>
    <w:rsid w:val="00925F88"/>
    <w:rsid w:val="00BB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2B43DACC-B539-4261-A449-CB6AE1F2D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800000"/>
      <w:u w:val="none"/>
      <w:effect w:val="none"/>
    </w:rPr>
  </w:style>
  <w:style w:type="character" w:styleId="a4">
    <w:name w:val="FollowedHyperlink"/>
    <w:uiPriority w:val="99"/>
    <w:rPr>
      <w:color w:val="800000"/>
      <w:u w:val="none"/>
      <w:effect w:val="none"/>
    </w:rPr>
  </w:style>
  <w:style w:type="paragraph" w:styleId="a5">
    <w:name w:val="Normal (Web)"/>
    <w:basedOn w:val="a"/>
    <w:uiPriority w:val="99"/>
    <w:pPr>
      <w:spacing w:before="180" w:after="90" w:line="300" w:lineRule="auto"/>
      <w:ind w:left="15" w:right="45"/>
      <w:jc w:val="both"/>
    </w:pPr>
    <w:rPr>
      <w:rFonts w:ascii="Verdana" w:hAnsi="Verdana" w:cs="Verdana"/>
    </w:rPr>
  </w:style>
  <w:style w:type="paragraph" w:customStyle="1" w:styleId="left">
    <w:name w:val="left"/>
    <w:basedOn w:val="a"/>
    <w:uiPriority w:val="99"/>
    <w:pPr>
      <w:spacing w:before="180" w:after="90" w:line="300" w:lineRule="auto"/>
      <w:ind w:left="15" w:right="45"/>
    </w:pPr>
    <w:rPr>
      <w:rFonts w:ascii="Verdana" w:hAnsi="Verdana" w:cs="Verdana"/>
    </w:rPr>
  </w:style>
  <w:style w:type="paragraph" w:customStyle="1" w:styleId="right">
    <w:name w:val="right"/>
    <w:basedOn w:val="a"/>
    <w:uiPriority w:val="99"/>
    <w:pPr>
      <w:spacing w:before="180" w:after="90" w:line="300" w:lineRule="auto"/>
      <w:ind w:left="15" w:right="45"/>
      <w:jc w:val="right"/>
    </w:pPr>
    <w:rPr>
      <w:rFonts w:ascii="Verdana" w:hAnsi="Verdana" w:cs="Verdana"/>
    </w:rPr>
  </w:style>
  <w:style w:type="paragraph" w:customStyle="1" w:styleId="center">
    <w:name w:val="center"/>
    <w:basedOn w:val="a"/>
    <w:uiPriority w:val="99"/>
    <w:pPr>
      <w:spacing w:before="180" w:after="90" w:line="300" w:lineRule="auto"/>
      <w:ind w:left="15" w:right="45"/>
      <w:jc w:val="center"/>
    </w:pPr>
    <w:rPr>
      <w:rFonts w:ascii="Verdana" w:hAnsi="Verdana" w:cs="Verdana"/>
    </w:rPr>
  </w:style>
  <w:style w:type="paragraph" w:customStyle="1" w:styleId="a6">
    <w:name w:val="a"/>
    <w:basedOn w:val="a"/>
    <w:uiPriority w:val="99"/>
    <w:pPr>
      <w:spacing w:before="180" w:after="90" w:line="300" w:lineRule="auto"/>
      <w:ind w:left="15" w:right="45" w:firstLine="480"/>
      <w:jc w:val="both"/>
    </w:pPr>
    <w:rPr>
      <w:rFonts w:ascii="Verdana" w:hAnsi="Verdana" w:cs="Verdana"/>
    </w:rPr>
  </w:style>
  <w:style w:type="paragraph" w:customStyle="1" w:styleId="t8">
    <w:name w:val="t8"/>
    <w:basedOn w:val="a"/>
    <w:uiPriority w:val="99"/>
    <w:pPr>
      <w:spacing w:before="180" w:after="90" w:line="300" w:lineRule="auto"/>
      <w:ind w:left="15" w:right="45"/>
    </w:pPr>
    <w:rPr>
      <w:rFonts w:ascii="Verdana" w:hAnsi="Verdana" w:cs="Verdana"/>
      <w:sz w:val="16"/>
      <w:szCs w:val="16"/>
    </w:rPr>
  </w:style>
  <w:style w:type="paragraph" w:customStyle="1" w:styleId="t8c">
    <w:name w:val="t8c"/>
    <w:basedOn w:val="a"/>
    <w:uiPriority w:val="99"/>
    <w:pPr>
      <w:spacing w:before="180" w:after="90" w:line="300" w:lineRule="auto"/>
      <w:ind w:left="15" w:right="45"/>
      <w:jc w:val="center"/>
    </w:pPr>
    <w:rPr>
      <w:rFonts w:ascii="Verdana" w:hAnsi="Verdana" w:cs="Verdana"/>
      <w:sz w:val="16"/>
      <w:szCs w:val="16"/>
    </w:rPr>
  </w:style>
  <w:style w:type="paragraph" w:customStyle="1" w:styleId="mc">
    <w:name w:val="mc"/>
    <w:basedOn w:val="a"/>
    <w:uiPriority w:val="99"/>
    <w:pPr>
      <w:spacing w:before="15" w:after="30" w:line="300" w:lineRule="auto"/>
      <w:ind w:left="15" w:right="45"/>
      <w:jc w:val="center"/>
    </w:pPr>
    <w:rPr>
      <w:rFonts w:ascii="Verdana" w:hAnsi="Verdana" w:cs="Verdana"/>
    </w:rPr>
  </w:style>
  <w:style w:type="paragraph" w:customStyle="1" w:styleId="head">
    <w:name w:val="head"/>
    <w:basedOn w:val="a"/>
    <w:uiPriority w:val="99"/>
    <w:pPr>
      <w:spacing w:before="180" w:after="90" w:line="300" w:lineRule="auto"/>
      <w:ind w:left="15" w:right="45"/>
    </w:pPr>
    <w:rPr>
      <w:rFonts w:ascii="Verdana" w:hAnsi="Verdana" w:cs="Verdana"/>
      <w:b/>
      <w:bCs/>
      <w:sz w:val="26"/>
      <w:szCs w:val="26"/>
    </w:rPr>
  </w:style>
  <w:style w:type="paragraph" w:customStyle="1" w:styleId="head2">
    <w:name w:val="head2"/>
    <w:basedOn w:val="a"/>
    <w:uiPriority w:val="99"/>
    <w:pPr>
      <w:spacing w:before="180" w:after="90" w:line="300" w:lineRule="auto"/>
      <w:ind w:left="15" w:right="45"/>
    </w:pPr>
    <w:rPr>
      <w:rFonts w:ascii="Verdana" w:hAnsi="Verdana" w:cs="Verdana"/>
      <w:b/>
      <w:bCs/>
      <w:sz w:val="32"/>
      <w:szCs w:val="32"/>
    </w:rPr>
  </w:style>
  <w:style w:type="paragraph" w:customStyle="1" w:styleId="head3">
    <w:name w:val="head3"/>
    <w:basedOn w:val="a"/>
    <w:uiPriority w:val="99"/>
    <w:pPr>
      <w:spacing w:before="180" w:after="90" w:line="300" w:lineRule="auto"/>
      <w:ind w:left="15" w:right="45"/>
    </w:pPr>
    <w:rPr>
      <w:rFonts w:ascii="Verdana" w:hAnsi="Verdana" w:cs="Verdana"/>
      <w:b/>
      <w:bCs/>
      <w:sz w:val="28"/>
      <w:szCs w:val="28"/>
    </w:rPr>
  </w:style>
  <w:style w:type="paragraph" w:customStyle="1" w:styleId="head4">
    <w:name w:val="head4"/>
    <w:basedOn w:val="a"/>
    <w:uiPriority w:val="99"/>
    <w:pPr>
      <w:spacing w:before="90" w:after="45" w:line="300" w:lineRule="auto"/>
      <w:ind w:left="15" w:right="45"/>
    </w:pPr>
    <w:rPr>
      <w:rFonts w:ascii="Arial" w:hAnsi="Arial" w:cs="Arial"/>
      <w:b/>
      <w:bCs/>
      <w:sz w:val="24"/>
      <w:szCs w:val="24"/>
    </w:rPr>
  </w:style>
  <w:style w:type="paragraph" w:customStyle="1" w:styleId="link">
    <w:name w:val="link"/>
    <w:basedOn w:val="a"/>
    <w:uiPriority w:val="99"/>
    <w:pPr>
      <w:spacing w:before="180" w:after="90" w:line="300" w:lineRule="auto"/>
      <w:ind w:left="15" w:right="45"/>
      <w:jc w:val="both"/>
    </w:pPr>
    <w:rPr>
      <w:rFonts w:ascii="Verdana" w:hAnsi="Verdana" w:cs="Verdana"/>
      <w:color w:val="800000"/>
    </w:rPr>
  </w:style>
  <w:style w:type="paragraph" w:customStyle="1" w:styleId="j">
    <w:name w:val="j"/>
    <w:basedOn w:val="a"/>
    <w:uiPriority w:val="99"/>
    <w:pPr>
      <w:spacing w:before="180" w:after="90" w:line="300" w:lineRule="auto"/>
      <w:ind w:left="15" w:right="45"/>
      <w:jc w:val="both"/>
    </w:pPr>
    <w:rPr>
      <w:rFonts w:ascii="Verdana" w:hAnsi="Verdana" w:cs="Verdana"/>
    </w:rPr>
  </w:style>
  <w:style w:type="paragraph" w:customStyle="1" w:styleId="arial">
    <w:name w:val="arial"/>
    <w:basedOn w:val="a"/>
    <w:uiPriority w:val="99"/>
    <w:pPr>
      <w:spacing w:before="180" w:after="90" w:line="300" w:lineRule="auto"/>
      <w:ind w:left="15" w:right="45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16210</Words>
  <Characters>9240</Characters>
  <Application>Microsoft Office Word</Application>
  <DocSecurity>0</DocSecurity>
  <Lines>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Возбудители бактериальных инфекций человека</vt:lpstr>
    </vt:vector>
  </TitlesOfParts>
  <Company>PERSONAL COMPUTERS</Company>
  <LinksUpToDate>false</LinksUpToDate>
  <CharactersWithSpaces>25400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Возбудители бактериальных инфекций человека</dc:title>
  <dc:subject/>
  <dc:creator>USER</dc:creator>
  <cp:keywords/>
  <dc:description/>
  <cp:lastModifiedBy>admin</cp:lastModifiedBy>
  <cp:revision>2</cp:revision>
  <dcterms:created xsi:type="dcterms:W3CDTF">2014-01-26T04:43:00Z</dcterms:created>
  <dcterms:modified xsi:type="dcterms:W3CDTF">2014-01-26T04:43:00Z</dcterms:modified>
</cp:coreProperties>
</file>