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8A" w:rsidRPr="009F2FCB" w:rsidRDefault="00E0378A" w:rsidP="00E0378A">
      <w:pPr>
        <w:spacing w:before="120"/>
        <w:jc w:val="center"/>
        <w:rPr>
          <w:b/>
          <w:bCs/>
          <w:sz w:val="32"/>
          <w:szCs w:val="32"/>
        </w:rPr>
      </w:pPr>
      <w:r w:rsidRPr="009F2FCB">
        <w:rPr>
          <w:b/>
          <w:bCs/>
          <w:sz w:val="32"/>
          <w:szCs w:val="32"/>
        </w:rPr>
        <w:t>Возможна ли единая европейская или мировая цивилизация?</w:t>
      </w:r>
    </w:p>
    <w:p w:rsidR="00E0378A" w:rsidRPr="009F2FCB" w:rsidRDefault="00E0378A" w:rsidP="00E0378A">
      <w:pPr>
        <w:spacing w:before="120"/>
        <w:ind w:firstLine="567"/>
        <w:jc w:val="both"/>
        <w:rPr>
          <w:sz w:val="28"/>
          <w:szCs w:val="28"/>
        </w:rPr>
      </w:pPr>
      <w:r w:rsidRPr="009F2FCB">
        <w:rPr>
          <w:sz w:val="28"/>
          <w:szCs w:val="28"/>
        </w:rPr>
        <w:t>Реферат выполнил Коляда Алексей, группа: РР-1-97</w:t>
      </w:r>
    </w:p>
    <w:p w:rsidR="00E0378A" w:rsidRPr="009F2FCB" w:rsidRDefault="00E0378A" w:rsidP="00E0378A">
      <w:pPr>
        <w:spacing w:before="120"/>
        <w:ind w:firstLine="567"/>
        <w:jc w:val="both"/>
        <w:rPr>
          <w:sz w:val="28"/>
          <w:szCs w:val="28"/>
        </w:rPr>
      </w:pPr>
      <w:r w:rsidRPr="009F2FCB">
        <w:rPr>
          <w:sz w:val="28"/>
          <w:szCs w:val="28"/>
        </w:rPr>
        <w:t>Московский государственный институт радиотехники, электроники и автоматики.</w:t>
      </w:r>
    </w:p>
    <w:p w:rsidR="00E0378A" w:rsidRPr="009F2FCB" w:rsidRDefault="00E0378A" w:rsidP="00E0378A">
      <w:pPr>
        <w:spacing w:before="120"/>
        <w:ind w:firstLine="567"/>
        <w:jc w:val="both"/>
        <w:rPr>
          <w:sz w:val="28"/>
          <w:szCs w:val="28"/>
        </w:rPr>
      </w:pPr>
      <w:r w:rsidRPr="009F2FCB">
        <w:rPr>
          <w:sz w:val="28"/>
          <w:szCs w:val="28"/>
        </w:rPr>
        <w:t>Кафедра истории и права.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F2FCB">
        <w:rPr>
          <w:sz w:val="28"/>
          <w:szCs w:val="28"/>
        </w:rPr>
        <w:t>Москва 1997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Для того чтобы выяснить возможна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 xml:space="preserve">ли единая мировая или европейская цивилизация нужно, для начала, сравнить три важнейших понятия в жизни человека: цивилизация, формация и культура. 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Понятие цивилизации тесно сопряжено с понятием культуры, причем не только в негативном смысле, но и в позитивном плане, т.е. противопоставляется культуре, как материальное, техническое - духовному, как стандартное и бесчеловечное - уникальному и гуманному. О. Шпенглер рассматривал цивилизацию, как упадок культуры: «Цивилизация есть неизбежная судьба культуры...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логическое следствие, завершение и исход культуры»</w:t>
      </w:r>
      <w:r>
        <w:rPr>
          <w:rStyle w:val="a5"/>
          <w:sz w:val="24"/>
          <w:szCs w:val="24"/>
        </w:rPr>
        <w:footnoteReference w:id="1"/>
      </w:r>
      <w:r w:rsidRPr="009A6D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Но такое противопоставление не является адекватным отражением противоречий современного мира. Цивилизация есть социокультурное образование, и этим она отличается от формации, окружающей систему социальных связей безотносительно к культуре. Отсюда вытекает сама возможность использования понятия цивилизации для характеристики конкретных пространственно-ограниченных обществ с их своеобразной культурой. Иначе говоря в мире существует не одна, а множество локальных цивилизаций, способных сохранять свои типичные особенности в различных общественных формациях.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Противопоставление цивилизации и культуры коренится в глубинных противоречиях развития цивилизации, порождающее в ходе своего развития насилие, войны, разрушение и гибель культур, отчуждение и эксплуатацию, богатство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одних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нищету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других.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все-таки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противопоставление культуры и цивилизации теоретически неправомерно, ибо без культуры существование цивилизации немыслимо, поскольку она теряет тогда своего субъекта - человека, способного воспроизводить условия цивилизации и развивать ее.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Многообразие культур в рамках цивилизации не исключает наличия у них общих моментов, общих проблем, общих принципов, например, принципов гуманизма, - во-первых, и взаимодействия, взаимопроникновения и взаимообогащения культур - во-вторых.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То, что эти процессы протекают не без противоречий, не отменяет их значения для прогресса цивилизации. Ведь и различные общественные формации - каждая по своему - вносят свой вклад в развитие цивилизации.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Формация и цивилизация разные среды в развитии общества как целостной системы. Как нельзя познать механизм развития любого общества, исследуя только базисные факторы и опустив надстроечные, так невозможно и понять секреты управления общественным развитием, ориентируясь либо только на формационный, либо только на цивилизационный аспект в его динамике.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Формация - социоэкономическая категория, цивилизация - социокультурная.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Понятие формации имеет значение как системообразующего начала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социально-экономического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 политического строя данного общества. Формации различаются по доминирующим формам собственности. Переход от одной формации к другой обусловлен сменой форм собственности на основные средства производства, происходящей под влиянием прогресса производительных сил, открывающего новые материальные возможности для человеческой деятельности, для формирования общественных отношений.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 понятии «цивилизация» объединяются социальные и культурные аспекты жизни общества, цивилизация представляет собой этап истории, начинающийся вместе с выходом истории из естественного т.е. Первобытного, состояния и развивающемся далее на основе им самим создаваемых предпосылок, что она характеризует преемственность в развитии общества. Вместе с тем настойчиво утверждалась мысль, что фактически в истории существуют различные цивилизации, так сказать «формационные»: капиталистическая цивилизация, коммунистическая цивилизация и т.п. В итоге цивилизационный подход терял свою относительную самостоятельность и подчинялся формационному, а понятие цивилизации становилось подсобным, нужным лишь для выполнения некоторых аспектов общественно-экономической формации.(1) Если теория формаций ориентирована на выявление закономерностей, присущих обществу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этапах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истории,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структуры на каждом из этих этапов, то цивилизационный подход решает совершенно иные познавательные задачи. Две из них являются главными. Первая - это анализ социальных механизмов деятельности людей, обеспечивающих саму возможность существования общества на данном, т.е. цивилизованном уровне, уберегающих его от распада и одичания. Эти механизмы постоянно развиваются, совершенствуется или устраняются. Если тот или иной механизм устраняется, то начинается деградация связанных с ним социальных структур. Каждая последующая формация является и шагом вперед в развитии цивилизации, а не посягательством на ее основы. Гибель тех или иных цивилизаций в прошлом не останавливала исторического движения, потому что это были локальные катастрофы.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Прогресс цивилизации при всей его противоречивости все-таки связан с развитием и совершенствованием ее социальных механизмов.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Эти механизмы обеспечивают для жизни современного общества развитие производительных сил, техники, науки, поддерживают соответствующую динамику общественных отношений.</w:t>
      </w:r>
    </w:p>
    <w:p w:rsidR="00E0378A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Вторая задача, которая решается цивилизованным подходом к истории, - выявление ее человеческого измерения, механизмов формирования личности цивилизованного человека, анализ культуры, как меры развития человека, его способности к деятельности.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Понятие «цивилизации» шире понятия формации, однако эту ее объемность нельзя рассматривать упрощенно: нельзя скажем утверждать, что цивилизация - это формация плюс сфера культуры данного общества. Различия между этими категориями обусловлены еще неадекватностью структурных связей между явлениями и процессами.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Итак, такие понятия как цивилизация, формация и культура нельзя уравнять, но в то же время они тесно связаны между собой.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Углублением в конкретное познается сущностное в истории, в основе которой заложен вселенский разум, божественный закон - Логос. Истина появляется в диалоге человечества с ним, а точнее - Ответе на его Вызов.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Историческая самобытность Ответов на Вызовы с наибольшей полнотой раскрывается в феномене цивилизаций - замкнутых обществ, характеризующиеся набором определяющих признаков, позволяющих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их классифицировать. Движение истории определяется полнотой и интенсивностью Ответа на Вызов, мощью Порыва, направленного навстречу божественному Призыву. Шкала критериев у Тойнби весьма подвижна, хотя два из них остаются стабильными - это религия и формы ее организации, а также «степень удаленности от этого места, где данное общество первоначально возникло». Попытка классификации по критерию религии выстроила следующий ряд: «во-первых, общества, которые никак не связаны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ни с последующими, ни с предыдущими обществами; во-вторых, общества, никак не связанные с предшествующими, но связанные с последующими обществами; в-третьих, общества, связанные с предшествующими, но менее непосредственной, менее интимной связью, чем сыновнее родство, через вселенскую церковь, связью, обусловленной движением племен; в-четвертых, общества, связанные через вселенскую церковь с предшествующим обществом сыновними узами; в-пятых, общества, связанные с предшествующими связью более глубокой, чем отеческо-сыновняя, а именно через передаваемую с незначительными изменениями или вообще без них организованную религию правящего меньшинства. Внутри группы родственно связанных обществ можно различить две подгруппы в зависимости от того, принадлежит ли источник творческой силы внутреннему пролетариату родительского общества, создавшего универсальную церковь, или же этот источник чужеродного происхождения»</w:t>
      </w:r>
      <w:r>
        <w:rPr>
          <w:rStyle w:val="a5"/>
          <w:sz w:val="24"/>
          <w:szCs w:val="24"/>
        </w:rPr>
        <w:footnoteReference w:id="2"/>
      </w:r>
      <w:r w:rsidRPr="009A6D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Тойнби строит свою классификацию обществ по генетическому признаку. Православная цивилизация входит у него в категорию «сыновне родственных» (по отношению к эллинской), для которых «церковь чужеродного происхождения» сыграла роль куколки новой бабочки. При этом православная цивилизация распадается на две самостоятельные - собственно православную (Византийскую империю и ее лимитрофы) и российско-православную, пределы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расположения которой не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совпадают с границами «материнского» общества.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Обособленность (и само бытие) любой системы обуславливается тем, что связи между ее элементами более значимы и выражены, чем все прочие связи. Отсюда вытекает понятие «внешней среды», той области, на которую влияние системы хотя и распространяется, но менее существенно, нежели связи между ее элементами.</w:t>
      </w:r>
    </w:p>
    <w:p w:rsidR="00E0378A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Предощутив время как пространство исторической жизни, Тойнби как бы испытывает робость перед этой мыслью. Историю-путь, историю-жизнь, а следовательно, и истину истории он дробит на локальные (в самом непосредственном значении этого термина) цивилизации, общества, тем самым впадая в разобщение с объектом познания , делая невозможным то, что он сам провозгласил в качестве главной цели - постижение тайны мировой истории, становясь пленником осуждаемой им рационалистической отвлеченности и онтологизируя собственные гносеологические модели. Локальные цивилизации - вехи времени, а не острова замкнутой в самой себе истории. Разомкнутая История есть аналог разомкнутой Вселенной. Она открыта постоянно расширяющемуся и углубляющемуся постижению. В этой связи Тойнби развивает концепцию «интеллигентного поля» исторического познания</w:t>
      </w:r>
      <w:r>
        <w:rPr>
          <w:rStyle w:val="a5"/>
          <w:sz w:val="24"/>
          <w:szCs w:val="24"/>
        </w:rPr>
        <w:footnoteReference w:id="3"/>
      </w:r>
      <w:r w:rsidRPr="009A6D44">
        <w:rPr>
          <w:sz w:val="24"/>
          <w:szCs w:val="24"/>
        </w:rPr>
        <w:t>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общество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проходит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генезиса,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роста, надлома 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разложения,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падения универсальных государств, вселенских церквей, героических эпох; контактов между цивилизациями во времени и пространстве. Жизнеспособность цивилизации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 xml:space="preserve">определяется возможностью последовательного освоения жизненной среды и развитием духовного начала во всех видах человеческой деятельности, переносом Вызовов и Ответов из внешней среды внутрь общества. И поскольку Вызовы и Ответы на них носят различный характер, поскольку цивилизации оказываются непохожими одна на другую, но главный Ответ на Вызов Логоса определяет сущность единой человеческой цивилизации. 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Генезис цивилизаций есть результат поиска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адекватных Ответов на Вопросы, предъявляемые людьми либо природой - стимулы «бесплодной земли» и «новой земли», либо человеческим же окружением - стимулы «удара» и «давления». Во-первых, новая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цивилизация может появится непосредственно из примитивного общества путем качественного изменения его структуры, выделения из общей массы некоторого творческого меньшинства (элиты), берущего на себя формирование Ответа и разработку новых методов и направлений социальной активности при помощи механизмов мимесиса. Мимесис - социальное подражание, «приобщение через имитацию к социальным ценностям».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Я. Г. Шемякин толкует это понятие расширительно, считая мимесисом, в частности , происходящее сегодня в России интенсивное заимствование элемента западной культуры (сам Тойнби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использовал этот термин лишь в отношении внутри-, а не</w:t>
      </w:r>
      <w:r>
        <w:rPr>
          <w:sz w:val="24"/>
          <w:szCs w:val="24"/>
        </w:rPr>
        <w:t xml:space="preserve">  </w:t>
      </w:r>
      <w:r w:rsidRPr="009A6D44">
        <w:rPr>
          <w:sz w:val="24"/>
          <w:szCs w:val="24"/>
        </w:rPr>
        <w:t>межцивилизационных отношений.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Второй возможный вариант - возникновение цивилизации, использующей достижения (например, стандартные наборы социальных действий или особо эффективные методы реализации мимесиса) цивилизации предшествующей. Как подмечено Тойнби, в качестве хранителя и передатчика информации такого рода особенно часто выступают конфессиональные институты: церковь могла «в период опасного междуцарствия, когда на смену гибнущему социальному телу приходило в муках другое, стать жизнетворным центром, ядром нового общества». По всей видимости, в России осуществлялся именно второй путь складывания цивилизации, а значит, многие ее аспекты должны объясняться через характерные особенности материнских цивилизаций (христианской в целом и византийско-православной в частности).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Если единство западной цивилизации почти всегда обеспечивалось деятельностью католической церкви и самим ее существованием (причем даже после Реформации роль цементирующего цивилизацию фактора играли европейская культура и менталитет, католической же церковью и сформированные), то монолитность российской цивилизации обеспечивалась гораздо более прочными государственными структурами. Католическая церковь, несмотря на все политические амбиции папства,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оставалась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принципиально над государственным и наднациональным институтом. Русская же история, по словам Н. Бердяева, «явила совершенно исключительное зрелище - полнейшую национализацию церкви Христовой, которая определяет себя как вселенскую».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Превращение государства в универсальное Тойнби использует часто, хотя и определяет весьма расплывчато. Как правило, имеется в виду государство, стремящееся к включению в свой состав всей породившей его цивилизации(если не всего обозримого круга земель), пытающееся таким образом предотвратить себя от распада. Глобальность подобной цели порождает претензии государства на то, чтобы быть чем-то большим, нежели просто социально-политическая единица, и приобрести некое духовное значение. На базе этого духовного значения, сформулированного господствующим меньшинством, государство мобилизует на хранение цивилизации все различные ресурсы общества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 нередко достигает таким образом успеха: «И после того, как подошел естественный срок кончины, универсальное государство имеет шанс продолжать свое существование».(2)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Тойнби считает синонимичными понятия «универсальное государство» и «империя». Действительно, при всей непроясненности в современной науке проблемы империи как типа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трудно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оспорить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 xml:space="preserve">тезис, 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выдвинутый Ш. Н. Айзенштадтом: «...Хотя империи обычно основывались на традиционной легитимации, они часто использовали некоторые более широкие, потенциально универсальные политические и культурные ориентации, выходившие за пределы свойственного любой из составляющих империю частей».(1) И в этом смысле империя тоже оказывается универсальным государством. По мнению Тойнби, византийское православие, столкнувшись с целым спектром проблем, сделало попытку возродить римскую империю (яркий пример универсального государства), использовав таким образом опыт материнской цивилизации.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Подобно тому, как Византия использовала опыт Рима, так и Россия обратилась к моделям материнской цивилизации (самой Византии ), также оказавшись универсальным государством. Так или иначе налицо достаточно необычное совпадение в одном явлении феноменов цивилизаций, универсального и национального государств.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Тойнби подчеркивает: «Во-первых, универсальное государство возникает после, а не до надлома цивилизаций. Это не лето общества, а бабье лето его - последний всплеск тепла перед сыростью осени и холодом зимы. Во-вторых, универсальное государство - продукт доминирующих меньшинств, то есть тех социальных групп, которые когда-то обладали творческой силой, но затем утратили ее». Надлом цивилизации - это момент, когда творческая элита перестает находить адекватные Ответы, соответственно падает доверие к ней со стороны массы, и ранее добровольный мимесис приходится поддерживать уже достаточно жесткими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методами.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Универсальное государство как раз и есть предельный вариант насильственной реализации социального мимесиса: «Универсальные государства - симптомы социального распада; однако это одновременно попытка взять под контроль, предотвратить падение в пропасть».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Однако однажды появившееся в России универсальное государство выдерживало самые опасные зигзаги истории и неизбежно реанимировалось даже после таких периодов всеобщего хаоса, как Смутное время или Гражданская война, таких сильных ударов извне, как нашествие Наполеона и две мировые войны. Более того, даже сейчас еще нельзя с полной уверенностью говорить о его кончине - дальнейшие судьбы страны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могут сложиться весьма по-разному.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Высокая инерционность России сглаживала и многие потрясения, которые для другой цивилизации оказались бы роковыми. Обычно силовое поддержание социального мимесиса все равно не спасает ни господствующее меньшинство, ни руководимую им цивилизацию - поскольку каждый неправильный Ответ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влечет за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лавину новых</w:t>
      </w:r>
    </w:p>
    <w:p w:rsidR="00E0378A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Вызовов, реагировать на которые элита не успевает, и не умеет. Другую цивилизацию, другое государство такие тотальные «ротации» правящей элиты подвергли бы в жесточайший кризис. Россия же и как бы и не заметила - не успела отреагировать.</w:t>
      </w:r>
      <w:r>
        <w:rPr>
          <w:sz w:val="24"/>
          <w:szCs w:val="24"/>
        </w:rPr>
        <w:t xml:space="preserve"> 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Способна ли концепция Тойнби претендовать на роль целостной модели, позволяющей дать адекватное описание всех аспектов российского феномена? Даже ее апологету очевидно, что многие особенности российского опыта в ней не учтены - в частности, одновременная принадлежность России к классам и цивилизаций, и универсальных государств (а это должно весьма серьезно модифицировать ее цивилизационные характеристики).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Весьма продуктивным кажется и дальнейший конкретный анализ российской истории с точки зрения цивилизационного подхода, таких его категорий, как социальный мимесис, «способы» разрешения предшествующих («материнских») цивилизаций; как роль имперского и универсального компонентов в российской государственности.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Вопросы о содержании самого понятия «Россия», о ее месте в мире и, в частности, о соотношении понятия «Россия» с полярным противопоставлением «Запад» и «Восток», вновь остро встали перед общественной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мыслью. Полемика на этот счет имеет давнюю историю и осложнена отсутствием ясности даже ключевых терминов - так, еще в 1922 году П. М. Бицилли отмечал: «К числу понятий особенно часто употребляемых, и притом с наименьшей степенью критики, принадлежат понятия Востока и Запада. Противоположность Востока и Запада - ходячая формула со времен еще Геродота».(1) Если и выявилось с достаточной определенностью в ходе полемики, так это невозможность отождествления России с каким-то из поясов, «между которыми раскачивается мир» (по выражению Г. Гессе).(2) Уникальность российского опыта, неповторимость духовного и исторического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пути России часто декларировалась и декларируется по мотивам субъективным, сугубо идеологическим. Достаточно очевидно, что «евразийское положение» России, не сводящееся к чисто географической трактовке, «не позволяет оценить ее историю под углом зрения либо европейского социального прогресса, либо частичной и медленной модернизации Азии. В самой России западная и восточная ее части (как, впрочем, северная и южная ) всегда представляли разные миры, включавшие в себя ареалы, находившееся на различных уровнях развития. Отсюда понятно, что Россию никогда нельзя было полностью ассоциировать с Востоком, либо с Западом».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Таким образом, проблемы возникают не просто вокруг особенностей России как страны и государства - Россию необходимо рассматривать как отдельную цивилизацию, самостоятельную и самобытную, анализ которой требует особого методологического и понятийного аппарата.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 xml:space="preserve">Ключевым в осмыслении современного процесса объединения Европы стало понятие «европейская идея»; в широком смысле слова - это идея европейской общности, заключающей в себе многообразие народов и культур. 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Европейская цивилизация рассматривается как культурно-историческое целое, основанное на общности истоков, исторической судьбы и наследия. Европа - это прежде всего целостность, сформированная уникальным наследием греческой философии, римского права и христианских традиций. Среди факторов определивших европейское сознание, назовем также противодействие внешней угрозе, прежде всего мусульманской.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Христианство впитало в себя ценности античных Греции и Рима и передало их формировавшимся европейским народам. Через концепцию человеческой личности, свободной и ответственной, оно заложило основу учения о правах человека; последовательно проводя различие между светской 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духовными властями, создало предпосылки формирования гражданского общества и индивидуальной свободы. В зоне средневекового христианства сложились важнейшие формы европейской цивилизации. Самые ранние проекты объединения Европы относятся еще к XV веку: так, во второй половине XV в. Король Богемии Иржи Подебрад предложил свой проект федерации парламента, и 1960-е годы переизданный в Праге</w:t>
      </w:r>
      <w:r>
        <w:rPr>
          <w:rStyle w:val="a5"/>
          <w:sz w:val="24"/>
          <w:szCs w:val="24"/>
        </w:rPr>
        <w:footnoteReference w:id="4"/>
      </w:r>
      <w:r w:rsidRPr="009A6D44">
        <w:rPr>
          <w:sz w:val="24"/>
          <w:szCs w:val="24"/>
        </w:rPr>
        <w:t>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Наряду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факторами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единения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Европе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действовали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факторы «полярности»: противоречия между церковью и государством, нацией и империей, католицизмом и протестантизмом, теорией и философией, наукой и верой. Кстати, многие ученые считают, что средневековье европейской цивилизации будет правильнее считать периодом варварства, жестокости и насилия, а не рассвета европейской цивилизации. Да и сам современный раскол Европы многие исследователи склонны рассматривать как проявление европейской «полярности», поскольку идеологические основы советской империи (марксизм, социализм), имеют европейское происхождение.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Феномен «поляризации» интеллектуальной и социально- политической жизни европейского общества, в особенности характерный для Нового времени, вместе с тем обнаруживает тенденцию не к непримиримому противостоянию, а к диалогу. Неоднократно отмечалось, что европейский склад мышления дуалистичен, дихотомичен, исходит из наличия гетерогенных элементов. Во всех противостояниях - религиозных, светских , межнациональных - между государством и гражданским обществом нащупывалась некая грань, переступать которую не следовало, подвижная точка равновесия, гарантировавшая сохранение разных точек зрения, не допускавшая истребления инакомыслящего. Продуктом европейской культуры приходиться признать и тоталитаризм, известный в Европе в двух вариантах - нацистском и сталинистском. Обе эти разновидности можно рассматривать не только в социополитическом плане, но и как результат болезненной деформации, однобокого развития обоих ветвей европейской культуры, раздвоившейся между консервативной традицией т безоглядной верой в прогресс, в революционное обновление.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«Тоталитарной болезни» Европа смогла противопоставить либеральную демократию, вместе с возможностью ее преобразования в демократию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социальную, причем на путях реформирования, а не радикального насильственного переворота. Сквозь исторические противостояния и катаклизмы последних столетий «европейская идея» пробивала себе дорогу.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 политическом плане европейская идея на протяжении истории колебалась между двумя моделями решения. Первая, «гегемонистская», заключалась в том, что в течение двух тысячелетий та или иная нация - Греция, Рим, Турция, Испания, Германия, Россия, Австрия, Франция - стремились добиться ведущего положения в Европе. Однако независимо от вклада каждой из них в общеевропейское наследие данная модель продемонстрировала, что гегемония отдельной национальной культуры противоположна европейской идее.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Вторая модель - Европа средневековая, политически раздробленная, но открытая торговле, культурным влияниям, передвижению людей. В то время универсальными объединяющими началами для нее являлось христианство и его институты - папство, монастыри, университеты с общим для религии языком - латынью. Эта модель сохраняет свою привлекательность, служа историческим залогом нынешнего европейского единства. Однако сегодня она нереальна из-за ослабления влияния церкви и жестокости национально-политических структур. Национальная идея, идея собственной культурной идентичности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заслонила религиозную. Среди множества идентичностей - групповой, региональной, этнической, - национальная идентичность является преобладающей. Ее сила - в общей исторической памяти, мифах и символах, к которым каждое новое поколение приобщается благодаря их воспроизведению в системе образования. Тем не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менее, именно вторая, условно говоря, средневековая модель оказалась в центре внимания федералистов - наиболее влиятельных поборников европейской идеи в нашем столетии.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В эволюции европейской идеи после Второй мировой войны можно выделить два этапа. Интеграционные процессы 50-60-х годов привели к возникновению первых общеевропейских институтов. Отличительными чертами этого этапа было ограничение Сообщества строго европейскими рамками, в пределах которых шла борьба между сторонниками «национальной Европы», которых называли также «атлантистами» (Ж. Монне, Р. Шуман, Ж. Бидо) и последователи де Голля , которые выступали за «Европу отечеств и наций», простирающуюся «от Атлантики до Урала» (или дальше). Последние стремились воспрепятствовать вовлечению Франции, как и Западной Европы в целом, в «атлантическую систему» под эгидой США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 НАТО в качестве структуры безопасности. Под «европейской Европой» генерал де Голль подразумевал проведение ею самостоятельной политики, направленной на согласие и сотрудничество с восточноевропейскими странами, отвечавшие «подлинным интересам людей той и другой половины случайно расколотой Европы».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Сегодня крах коммунистических режимов в Восточной Европе и на территории бывшего СССР вновь поднимает вопрос о том, что Европа не может быть разделена надвое: напротив, призвание европейской цивилизации - вовлечь в круг общечеловеческих ценностей восточноевропейские страны. Вопрос о границах Европы, который никогда не был чисто географическим, а скорее ценностным, цивилизационным, сегодня требует нового осмысления.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Если для эпохи подъема либерализма был характерен евроцентризм, то современная неоконсервативная мысль выдвинула на первое место понятие европейской цивилизации, понимая ее как общность, основанную в первую очередь на историко-культурных, а затем уже на экономико-политических реалиях.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Противоречивость происходящих в Европе процессов выражается и во взаимодействии региональных и общеевропейских традиций. Известный западногерманский философ Х. Люббе видит в самой динамике процесса модернизации побудительный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мотив, толкающий европейцев к сохранению национальных особенностей и региональных культур. Ассимилирующее воздействие процессов модернизации пробуждает отношение к культуре как к «компенсации темпа перемен». Угроза культурной идентичности способствует активизации консервативных тенденций, причем не только в Европе. Региональные движения в Европе ставят во главу угла сохранение культурного многообразия при минимально необходимом уровне европейского единства. «Там, где стремление сохранить местный диалект обращается против литературного языка, где экстремистские неокельты или неогерманцы бравируют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своим антиримским стилем, там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культурная программа превращается в лозунг изоляции»,- утверждает Люббе (1). В условиях наступления глобальной технической цивилизации важно показывать общность европейской культуры. Осознание этого происходит отнюдь не автоматически: все большее число исследователей согласно с необходимостью «культурной европейской политики, которая должна быть направлена на осознание «европейской идентичности». «Идентичность, - пишет Люббе, - это ответ на вопрос, кто мы такие, и этот ответ в конце всегда облачен в форму истории. Европейская идентичность представляет собой, таким образом, не что иное, как единство происхождения Европы из общего прошлого».(2)</w:t>
      </w:r>
    </w:p>
    <w:p w:rsidR="00E0378A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Понятие Европы как культурной ценности присутствует в речах практически всех политических деятелей и в дискуссиях об отношениях внутри ЕС, так и с государствами Восточной Европы. При этом государственные и политические лидеры определяли ЕС как «сообщество ценностей и культуры», а культуру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как «самую прочную связь, объединяющую Европу».</w:t>
      </w:r>
      <w:r>
        <w:rPr>
          <w:sz w:val="24"/>
          <w:szCs w:val="24"/>
        </w:rPr>
        <w:t xml:space="preserve"> 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Поэтому неудивительно, что по ряду параметров соприкосновение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либеральной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 xml:space="preserve">мыслью 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федералистов все же произошло - прежде всего, в плане европейской цивилизации и этнокультурного регионализма. Так консервативная корректировка либеральных построений, не раз случавшаяся на протяжении истории, их взаимодействия, вновь сыграла свою конструктивную роль, на этот раз - в общеевропейском масштабе.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Итак, единая европейская цивилизация уже существует, во-первых, благодаря культурному единому наследию, во-вторых, из-за единства европейской идеи. Также созданию единой европейской цивилизации способствовало образование ЕС, ЕЭС и ООН, старающиеся решать всевозможные проблемы и конфликты. ООН имеет также свои собственные миротворческие войска, для разрешения всевозможных военных конфликтов.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Мировая цивилизация возможна, но, мне кажется, в далеком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будущем, хотя начала для ее образования уже положены. Вот несколько причин почему мировая цивилизация невозможна в ближайшем будущем: во-первых, существует слишком много разных, по взглядам, политических течений (партий) конфликтующих между собой. во-вторых, политическая обстановка и отношения между соседними странами нестабильны, и государства стремятся самостоятельно создать себе лидирующее положение. В начале лидирующее положение достигали за счет увеличения военного потенциала своей страны, но в последнее время заключаются договора между странами о всеобщем разоружении и ликвидации ядерного оружия. Все больше ценится экономический потенциал страны. Надо учитывать, что схожих цивилизаций в мире очень мало, многие страны просто не понимают политики проводимой своими соседями. По прежнему, к сожалению, существуют страны – агрессоры, которые хотят захватить себе превосходство над другими. Каждая страна пытается навязать свои правила всем остальным, тем более отсталым. Слишком много в мире отсталых стран, которые нуждаются в помощи более развитых соседей. Существует также проблема религии: многие страны не принимают другие, отличные от их веры и религии. Особым рвением, на мой взгляд, отличаются мусульмане. ООН, в какой-то мере, является основой для будущей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мировой цивилизации.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Конечно, ООН способно решить некоторые из выше перечисленных проблем, и успешно их решает,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но все пока не по силам, ведь были перечислены не все причины. В общем, предстоит еще много понять и достигнуть всем нам, чтобы достигнуть совершенства и равенства.</w:t>
      </w:r>
    </w:p>
    <w:p w:rsidR="00E0378A" w:rsidRPr="00E0378A" w:rsidRDefault="00E0378A" w:rsidP="00E0378A">
      <w:pPr>
        <w:spacing w:before="120"/>
        <w:jc w:val="center"/>
        <w:rPr>
          <w:b/>
          <w:bCs/>
          <w:sz w:val="28"/>
          <w:szCs w:val="28"/>
        </w:rPr>
      </w:pPr>
      <w:r w:rsidRPr="00E0378A">
        <w:rPr>
          <w:b/>
          <w:bCs/>
          <w:sz w:val="28"/>
          <w:szCs w:val="28"/>
        </w:rPr>
        <w:t>Список литературы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«Цивилизации» под редакцией М. А. Барг ( 1 и 2 выпуски )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«Российские и зарубежные ученые об истории России и мировой цивилизации» Издательство МИРЭА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 xml:space="preserve">1993г. 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Святослав Каспэ «Российская цивилизация и идеи А. Дж. Тойнби». /«Свободная мысль» №2 1997/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Т. М. Фадеева «Европейская идея: путь к интеграции» /«Вопросы философии» №5 1996/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Ф. А. Степун «Дух, лицо и стиль русской культуры» /«Вопросы философии» №1 1997/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  <w:r w:rsidRPr="009A6D44">
        <w:rPr>
          <w:sz w:val="24"/>
          <w:szCs w:val="24"/>
        </w:rPr>
        <w:t>Э. Макаревич «Разность культур и общественный прогресс» / «Диалог» №2 1995/</w:t>
      </w: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</w:p>
    <w:p w:rsidR="00E0378A" w:rsidRPr="009A6D44" w:rsidRDefault="00E0378A" w:rsidP="00E0378A">
      <w:pPr>
        <w:spacing w:before="120"/>
        <w:ind w:firstLine="567"/>
        <w:jc w:val="both"/>
        <w:rPr>
          <w:sz w:val="24"/>
          <w:szCs w:val="24"/>
        </w:rPr>
      </w:pP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8A" w:rsidRDefault="00E0378A">
      <w:r>
        <w:separator/>
      </w:r>
    </w:p>
  </w:endnote>
  <w:endnote w:type="continuationSeparator" w:id="0">
    <w:p w:rsidR="00E0378A" w:rsidRDefault="00E0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8A" w:rsidRDefault="00E0378A">
      <w:r>
        <w:separator/>
      </w:r>
    </w:p>
  </w:footnote>
  <w:footnote w:type="continuationSeparator" w:id="0">
    <w:p w:rsidR="00E0378A" w:rsidRDefault="00E0378A">
      <w:r>
        <w:continuationSeparator/>
      </w:r>
    </w:p>
  </w:footnote>
  <w:footnote w:id="1">
    <w:p w:rsidR="00EE6D1E" w:rsidRDefault="00E0378A">
      <w:pPr>
        <w:pStyle w:val="a3"/>
      </w:pPr>
      <w:r>
        <w:rPr>
          <w:rStyle w:val="a5"/>
        </w:rPr>
        <w:footnoteRef/>
      </w:r>
      <w:r>
        <w:t xml:space="preserve"> </w:t>
      </w:r>
      <w:r w:rsidRPr="009A6D44">
        <w:rPr>
          <w:sz w:val="24"/>
          <w:szCs w:val="24"/>
        </w:rPr>
        <w:t>«Цивилизации» под редакцией Барг. (1 выпуск).</w:t>
      </w:r>
    </w:p>
  </w:footnote>
  <w:footnote w:id="2">
    <w:p w:rsidR="00EE6D1E" w:rsidRDefault="00E0378A">
      <w:pPr>
        <w:pStyle w:val="a3"/>
      </w:pPr>
      <w:r>
        <w:rPr>
          <w:rStyle w:val="a5"/>
        </w:rPr>
        <w:footnoteRef/>
      </w:r>
      <w:r>
        <w:t xml:space="preserve"> </w:t>
      </w:r>
      <w:r w:rsidRPr="009A6D44">
        <w:rPr>
          <w:sz w:val="24"/>
          <w:szCs w:val="24"/>
        </w:rPr>
        <w:t>«Российские и зарубежные ученые об истории России и мировой цивилизации» /МИРЭА/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1993г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А. Тойнби и «Постижение истории» стр.127</w:t>
      </w:r>
    </w:p>
  </w:footnote>
  <w:footnote w:id="3">
    <w:p w:rsidR="00EE6D1E" w:rsidRDefault="00E0378A">
      <w:pPr>
        <w:pStyle w:val="a3"/>
      </w:pPr>
      <w:r>
        <w:rPr>
          <w:rStyle w:val="a5"/>
        </w:rPr>
        <w:footnoteRef/>
      </w:r>
      <w:r>
        <w:t xml:space="preserve"> </w:t>
      </w:r>
      <w:r w:rsidRPr="009A6D44">
        <w:rPr>
          <w:sz w:val="24"/>
          <w:szCs w:val="24"/>
        </w:rPr>
        <w:t>С. Каспэ «Российская цивилизация и идеи А. Тойнби» /Свободная мысль №2 1997/ стр.78</w:t>
      </w:r>
    </w:p>
  </w:footnote>
  <w:footnote w:id="4">
    <w:p w:rsidR="00EE6D1E" w:rsidRDefault="00E0378A">
      <w:pPr>
        <w:pStyle w:val="a3"/>
      </w:pPr>
      <w:r>
        <w:rPr>
          <w:rStyle w:val="a5"/>
        </w:rPr>
        <w:footnoteRef/>
      </w:r>
      <w:r>
        <w:t xml:space="preserve"> </w:t>
      </w:r>
      <w:r w:rsidRPr="009A6D44">
        <w:rPr>
          <w:sz w:val="24"/>
          <w:szCs w:val="24"/>
        </w:rPr>
        <w:t>Т. М. Фадеева «Европейская идея: путь к</w:t>
      </w:r>
      <w:r>
        <w:rPr>
          <w:sz w:val="24"/>
          <w:szCs w:val="24"/>
        </w:rPr>
        <w:t xml:space="preserve"> </w:t>
      </w:r>
      <w:r w:rsidRPr="009A6D44">
        <w:rPr>
          <w:sz w:val="24"/>
          <w:szCs w:val="24"/>
        </w:rPr>
        <w:t>интеграции» /Вопросы философии №5 1996/. Стр.172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8A"/>
    <w:rsid w:val="004A25AF"/>
    <w:rsid w:val="004D70B9"/>
    <w:rsid w:val="009370B9"/>
    <w:rsid w:val="009A6D44"/>
    <w:rsid w:val="009F2FCB"/>
    <w:rsid w:val="00DE4C87"/>
    <w:rsid w:val="00E0378A"/>
    <w:rsid w:val="00E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C4E166-AFBF-432F-8BB1-75BF56E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8A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378A"/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rsid w:val="00E03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18910</Words>
  <Characters>10780</Characters>
  <Application>Microsoft Office Word</Application>
  <DocSecurity>0</DocSecurity>
  <Lines>89</Lines>
  <Paragraphs>59</Paragraphs>
  <ScaleCrop>false</ScaleCrop>
  <Company>Home</Company>
  <LinksUpToDate>false</LinksUpToDate>
  <CharactersWithSpaces>29631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Возможна ли единая европейская или мировая цивилизация</dc:title>
  <dc:subject/>
  <dc:creator>User</dc:creator>
  <cp:keywords/>
  <dc:description/>
  <cp:lastModifiedBy>admin</cp:lastModifiedBy>
  <cp:revision>2</cp:revision>
  <dcterms:created xsi:type="dcterms:W3CDTF">2014-01-25T16:42:00Z</dcterms:created>
  <dcterms:modified xsi:type="dcterms:W3CDTF">2014-01-25T16:42:00Z</dcterms:modified>
</cp:coreProperties>
</file>