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768A" w:rsidRPr="0062768A" w:rsidRDefault="0062768A" w:rsidP="0062768A">
      <w:pPr>
        <w:spacing w:before="120"/>
        <w:jc w:val="center"/>
        <w:rPr>
          <w:b/>
          <w:bCs/>
          <w:sz w:val="32"/>
          <w:szCs w:val="32"/>
        </w:rPr>
      </w:pPr>
      <w:r w:rsidRPr="0062768A">
        <w:rPr>
          <w:b/>
          <w:bCs/>
          <w:sz w:val="32"/>
          <w:szCs w:val="32"/>
        </w:rPr>
        <w:t>Возможности применения витаминного препарата "Элевит Пронаталь"</w:t>
      </w:r>
    </w:p>
    <w:p w:rsidR="0062768A" w:rsidRDefault="0062768A" w:rsidP="0062768A">
      <w:pPr>
        <w:spacing w:before="120"/>
        <w:ind w:firstLine="567"/>
        <w:jc w:val="both"/>
      </w:pPr>
      <w:r w:rsidRPr="0062768A">
        <w:t>Академик РАМН, про</w:t>
      </w:r>
      <w:r>
        <w:t xml:space="preserve">фессор В.Н. Серов, И.И. Баранов, </w:t>
      </w:r>
      <w:r w:rsidRPr="0062768A">
        <w:t>Научный центр акушерства, гинекологии и перинатологии РАМН, Москва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Витамины представляют собой группу биологически активных веществ с низкой молекулярной массой, которые участвуют в обеспечении процессов жизнедеятельности организма и необходимы в малых количествах (от нескольких мкг до десятков мг). Функцией витаминов является участие в клеточном метаболизме, регуляция пластического обмена, поддержание иммунологической реактивности организма, обеспечение роста, развития и регенерации клеток и тканей.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Все витамины принято подразделять на водорастворимые (В1 – тиамин, В2 – рибофлавин, В5 – пантотеновая кислота, В6 – пиридоксин, В12 – цианкобаламин, ВC – фолиевая кислота, H – биотин, РР – никотиновая кислота, С – аскорбиновая кислота) и жирорастворимые (А – ретинол, Д – кальциферол, Е – токоферол, К – менадион).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Поступление витаминов в организм человека происходит в основном с пищей. Витамины А и Д могут также синтезироваться в процессе обмена веществ из близких по химическому строению органических веществ: витамин А из каротина, витамин D – из стеринов в коже под влиянием ультрафиолетовых лучей. Однако следует подчеркнуть, что эндогенный синтез витаминов незначителен и не может покрыть всей потребности в них. Жирорастворимые витамины в определенной степени могут депонироваться в тканях организма. Водорастворимые витамины (за исключением витамина В12) этим свойством не обладают.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Причины гиповитаминозов можно разделить на 3 большие группы: несоответствие между потребностями организма в витаминах и поступлением их с пищей; нарушение всасывания витаминов из желудочно–кишечного тракта (ахилия, злоупотребление слабительными средствами и др.); нарушения метаболизма витаминов (заболевания печени, ферментопатии и др.). Наиболее часто гиповитаминозные состояния обусловлены именно недостаточным поступлением витаминов в организм человека по той или иной причине. Часть витаминов разрушается при кулинарной обработке пищи. Это относится и к неправильному хранению. Скажем, при хранении продуктов в холодильнике более 3–х суток теряется 30% витамина С, при комнатной температуре этот показатель составляет около 50%.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Потребность организма человека в витаминах зависит от возраста, пола, физиологического состояния. Доказано, что у женщин дефицит витаминов в крови может быть следствием применения оральных контрацептивов. При наступлении беременности нередко наблюдается недостаточное потребление витаминов из–за тошноты и рвоты.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Однако даже при физиологически протекающей беременности с четвертого месяца потребность организма женщины в витаминах начинает увеличиваться, так как запасы витаминов и микроэлементов используются для роста плода. Высокая потребность в железе и некоторых витаминах связана с увеличением объема крови при беременности и кровопотерей во время родов. Секреция грудного молока (в среднем 700–900 мл в сутки) в период кормления ребенка грудью также способствует истощению запасов витаминов и микроэлементов.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Богатое витаминами питание будущей матери имеет важное значение не только для нее самой, но и для ее ребенка. Оно влияет не только на течение и исход беременности, но также обусловливает те изменения, которые происходят в организме ребенка на протяжении первых лет жизни [3,10,11].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Однако каким бы сбалансированным ни было питание беременной и кормящей матери, полностью удовлетворить ее потребности за счет пищи в витамине Д и фолиевой кислоте невозможно. По данным многоцентровых исследований, у 80% исследуемых женщин в возрасте от 18 до 40 лет уровень содержания фолиевой кислоты находился на субоптимальном уровне. В свою очередь, недостаток фолиевой кислоты в первом триместре беременности является причиной возникновения дефектов нервной трубки [4].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Закладка нервной трубки происходит между 22 и 28 днями гестации. К патологии закладки нервной трубки относятся менингоцеле, менингомиелоцеле, энцефалоцеле. Данные пороки встречаются в среднем у 1–5 на 1000 новорожденных [5]. На сегодняшний день считают, что в возникновении этих изменений имеют значение как генетические факторы, так и факторы окружающей среды [6]. Значение факторов окружающей среды подтверждает географическая неоднородность встречаемости данной патологии, связь с социально–экономическим положением беременной женщины. При повторном возникновении пороков развития нервной трубки нужно думать о генетических факторах. Тем не менее в обоих случаях назначение фолиевой кислоты имеет большое значение, как мера профилактики возникновения данных пороков. Фолиевая кислота необходима для синтеза пуриновых и пиримидиновых оснований, отсюда и ее необходимость для нормального развития и дифференцировки тканей плода.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Часть генетически обусловленных пороков развития нервной трубки плода связана с нарушением обмена гомоцистеина, на который влияет фолиевая кислота. Гомоцистеинметилтрансфераза катализирует гомоцистеин в метионин. Данный процесс требует присутствия фолиевой кислоты, витаминов В6 и В12. Гипергомоцистеинемия возникает при генетически обусловленном дефекте гомоцистеинметилтрансферазы. В свою очередь, гомоцистеин оказывает токсическое воздействие на нервную ткань. Компенсация пониженной активности гомоцистеинметилтрансферазы может быть частично осуществлена путем назначения фолиевой кислоты [7,8]. По данным ряда авторов, генетически обусловленная гипергомоцистеинемия, как самостоятельная причина возникновения пороков нервной трубки, встречается от 12 до 27,4% случаев всех пороков развития нервной трубки [9].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Еще задолго до доказательства этой взаимосвязи многочисленные исследования указали положительное влияние фолиевой кислоты на риск возникновения пороков нервной трубки [4].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В 1992 году были опубликованы данные многоцентрового рандомизированного плацебо–контролируемого исследования, показавшие, что у беременных женщин, у которых во время предыдущий беременности родился ребенок с пороком развития нервной трубки, риск развития повторных пороков нервной трубки уменьшается на 72% при периконцептуальном приеме фолиевой кислоты [12].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Основываясь на этих данных, во многих странах с целью профилактики риска возникновения пороков развития нервной трубки в периконцептуальный период назначают фолиевую кислоту в дозировке 0,4 мг/день. При наличии в анамнезе у женщины рождения ребенка с патологией нервной трубки дозировку фолиевой кислоты нужно увеличивать до 4 мг/день. Периконцептуальным принято считать период, включающий 4 недели до зачатия и до 8 недель после него.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По мнению ряда авторов, помимо фолиевой кислоты, в данный комплекс мероприятий следует включать и другие витамины, участвующие в обмене гомоцистеина – В1, В6, В12 [1].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Наиболее доказательным для определения показаний к назначению витаминов является определение их уровня в крови. Однако данный метод весьма дорогостоящ и не всегда осуществим. Ввиду этого большое значение придается факторам риска развития витаминной недостаточности. При наличии факторов риска развития гиповитаминозных состояний (алиментарная недостаточность, патология желудочно–кишечного тракта, фетоплацентарная недостаточность, особенности питания беременной и др.) проведение поливитаминной терапии обязательно.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Таким образом, даже сбалансированное питание беременной не может полностью удовлетворить ее потребности в витаминах, поэтому проведение витаминотерапии в период беременности и лактации вполне обоснованно.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Поливитаминный препарат «Элевит Пронаталь» создан швейцарской компанией «Ф. Хоффман–Ля Рош Лтд.», содержит витамины, макро– и микроэлементы в строго сбалансированном, оптимальном для беременных количестве (А – 1,2 мг, В1 – 1,6 мг, В2 – 1,8 мг, В6 – 2,6 мг, В12 – 4 мкг, С – 100 мг, D3 – 12,5 мкг, Е – 15 мг, биотин – 0,2 мг, пантотенат кальция – 10 мг, никотинамид – 19 мг, кальций – 125 мг, магний – 100 мг, фосфор – 125 мг, железо – 60 мг, медь – 1 мг, марганец – 1 мг, цинк – 7,5 мг, фолиевую кислоту – 0,8 мг).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Эффективность препарата «Элевит Пронаталь» доказана двойным слепым плацебо–контролируемым клиническим испытанием, проведенным с 1984 по 1991 год с участием 5500 беременных женщин. Безопасность препарата подтверждается 15–летним опытом применения более чем у миллиона беременных в странах Европы.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Преимущества «Элевит Пронаталь» заключаются в том, что это единственный препарат с доказанной эффективностью в отношении профилактики возникновения врожденных дефектов. Фолиевая кислота в количестве 0,8 мг предупреждает развитие дефектов нервной трубки практически на 100%, снижает риск развития остальных пороков на 47%. Железо в количестве 60 мг способствует нормальному развитию ребенка и предупреждает развитие анемии у матери. Магний в количестве 100 мг способствует предупреждению преждевременного прерывания беременности.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«Элевит Пронаталь» рекомендуется применять по 1 таблетке в день женщинам до беременности (при принятии решения о зачатии), далее на протяжении всей беременности и во время кормления грудью.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Регулярный прием поливитаминного препарата способствует развитию здорового ребенка, обеспечивая повышенные потребности матери и плода в витаминах и минералах до и во время беременности, а также при кормлении грудью. «Элевит Пронаталь» способствует поддержанию благоприятного протекания беременности, хорошего состояния и самочувствия будущей матери. </w:t>
      </w:r>
    </w:p>
    <w:p w:rsidR="0062768A" w:rsidRPr="0062768A" w:rsidRDefault="0062768A" w:rsidP="0062768A">
      <w:pPr>
        <w:spacing w:before="120"/>
        <w:jc w:val="center"/>
        <w:rPr>
          <w:b/>
          <w:bCs/>
          <w:sz w:val="28"/>
          <w:szCs w:val="28"/>
        </w:rPr>
      </w:pPr>
      <w:r w:rsidRPr="0062768A">
        <w:rPr>
          <w:b/>
          <w:bCs/>
          <w:sz w:val="28"/>
          <w:szCs w:val="28"/>
        </w:rPr>
        <w:t>Список литературы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1. Макацария А.Д, Бицадзе В.О. Тромбофилические состояния в акушерской практике, Russia, 2001 г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2. «Goodman &amp; Gilman’s» The pharmacological Basis of Therapeutics». Eight Edition, vol. 2.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3. Barker DJP: «Mothers, babies, and disease in later life». London: Brit Med J Books, 1994. </w:t>
      </w:r>
    </w:p>
    <w:p w:rsidR="0062768A" w:rsidRPr="0062768A" w:rsidRDefault="0062768A" w:rsidP="0062768A">
      <w:pPr>
        <w:spacing w:before="120"/>
        <w:ind w:firstLine="567"/>
        <w:jc w:val="both"/>
      </w:pPr>
      <w:r w:rsidRPr="0062768A">
        <w:t xml:space="preserve">4. Czeizel AE, Dudas I. Prevention of the first occurrence of neural tube defects by periconceptional vitamin supplementation. New Eng J Med 1992; 327: 1832–1835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t xml:space="preserve">5. EUROCAT Working Group. Prevalence of neural tube defects in 20 regions of Europe and the impact of prenatal. </w:t>
      </w:r>
      <w:r w:rsidRPr="0062768A">
        <w:rPr>
          <w:lang w:val="en-US"/>
        </w:rPr>
        <w:t xml:space="preserve">J.Epid Commun H 1991; 45: 52–58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6. Elwood M, Little J, Elwood JH. Epidemiology and control of the neural tube defects. Oxfords: Oxford University Press, 1992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7. Fowler B. Disorders of homocysteine metabolism. J. Inherit Metab Dis 1997; 20: 270–285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8. Hages M, Thorand B, Prinz–Langenohl R. Praevention von Neuralrohrdefekten (NRD) durch perikonzeptionelle Folsaeuregaben. Eine Darstellung des aktuellen Forschungsstandes. Geburtsh u Frauenheilk 1996; 56: M59–M65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9. Kirke PN, Mills JL, Whitehead AS, Molloy A, Scott JM. Methylenenetetrahydrofolate reductase mutation and neural tube defects. Lancet 1996; 248: 1037–1038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10. Lucas A: A programming by early nutrition in man. In: Bock GR; Whelan J (eds): The childhood environment and adult disease. Ciba Foundation Symposium 156. Chichester: John Wiley, 1991; 38–50. </w:t>
      </w:r>
    </w:p>
    <w:p w:rsidR="0062768A" w:rsidRPr="0062768A" w:rsidRDefault="0062768A" w:rsidP="0062768A">
      <w:pPr>
        <w:spacing w:before="120"/>
        <w:ind w:firstLine="567"/>
        <w:jc w:val="both"/>
        <w:rPr>
          <w:lang w:val="en-US"/>
        </w:rPr>
      </w:pPr>
      <w:r w:rsidRPr="0062768A">
        <w:rPr>
          <w:lang w:val="en-US"/>
        </w:rPr>
        <w:t xml:space="preserve">11. McCance RA, Widdowson EM: The determinants of growth and form. Proc R Soc London Biol 1974; 185: 1–17. </w:t>
      </w:r>
    </w:p>
    <w:p w:rsidR="0062768A" w:rsidRDefault="0062768A" w:rsidP="0062768A">
      <w:pPr>
        <w:spacing w:before="120"/>
        <w:ind w:firstLine="567"/>
        <w:jc w:val="both"/>
      </w:pPr>
      <w:r w:rsidRPr="0062768A">
        <w:rPr>
          <w:lang w:val="en-US"/>
        </w:rPr>
        <w:t xml:space="preserve">12. MRC Vitamin Study Research Group. Prevention of neural tube defects: results og the medical research council vitamin study. </w:t>
      </w:r>
      <w:r w:rsidRPr="0062768A">
        <w:t xml:space="preserve">Lancet 1991; 338: 131–137 </w:t>
      </w:r>
      <w:bookmarkStart w:id="0" w:name="_GoBack"/>
      <w:bookmarkEnd w:id="0"/>
    </w:p>
    <w:sectPr w:rsidR="0062768A" w:rsidSect="006276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noPunctuationKerning/>
  <w:characterSpacingControl w:val="doNotCompress"/>
  <w:doNotValidateAgainstSchema/>
  <w:doNotDemarcateInvalidXml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F7A"/>
    <w:rsid w:val="00424F7A"/>
    <w:rsid w:val="0062768A"/>
    <w:rsid w:val="0083085A"/>
    <w:rsid w:val="00866CE8"/>
    <w:rsid w:val="00D1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068045-FE5F-4E3B-9BDA-9701F50C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6997</Words>
  <Characters>3989</Characters>
  <Application>Microsoft Office Word</Application>
  <DocSecurity>0</DocSecurity>
  <Lines>33</Lines>
  <Paragraphs>21</Paragraphs>
  <ScaleCrop>false</ScaleCrop>
  <Company>Home</Company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16.htm - Русский медицинский журнал т.12 #1, 2004 -- rmj</dc:title>
  <dc:subject/>
  <dc:creator>User</dc:creator>
  <cp:keywords/>
  <dc:description/>
  <cp:lastModifiedBy>admin</cp:lastModifiedBy>
  <cp:revision>2</cp:revision>
  <dcterms:created xsi:type="dcterms:W3CDTF">2014-01-25T21:38:00Z</dcterms:created>
  <dcterms:modified xsi:type="dcterms:W3CDTF">2014-01-25T21:38:00Z</dcterms:modified>
</cp:coreProperties>
</file>