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6A" w:rsidRPr="00AC3C6A" w:rsidRDefault="00AC3C6A" w:rsidP="00AC3C6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C3C6A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Введение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Создание ВЧК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2. Внесудебные полномочия ВЧК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Заключение</w:t>
      </w:r>
      <w:r w:rsidRPr="00AC3C6A">
        <w:rPr>
          <w:rFonts w:ascii="Times New Roman" w:hAnsi="Times New Roman" w:cs="Times New Roman"/>
          <w:sz w:val="28"/>
          <w:szCs w:val="28"/>
        </w:rPr>
        <w:tab/>
      </w:r>
    </w:p>
    <w:p w:rsid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</w:p>
    <w:p w:rsid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C3C6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Созданная после Октябрьской революции система подавления с первых шагов несла в себе быстро развивающийся зародыш в</w:t>
      </w:r>
      <w:r>
        <w:rPr>
          <w:rFonts w:ascii="Times New Roman" w:hAnsi="Times New Roman" w:cs="Times New Roman"/>
          <w:sz w:val="28"/>
          <w:szCs w:val="28"/>
        </w:rPr>
        <w:t xml:space="preserve">седозволенности и аморальности, которые </w:t>
      </w:r>
      <w:r w:rsidRPr="00AC3C6A">
        <w:rPr>
          <w:rFonts w:ascii="Times New Roman" w:hAnsi="Times New Roman" w:cs="Times New Roman"/>
          <w:sz w:val="28"/>
          <w:szCs w:val="28"/>
        </w:rPr>
        <w:t>обосновывались рев</w:t>
      </w:r>
      <w:r>
        <w:rPr>
          <w:rFonts w:ascii="Times New Roman" w:hAnsi="Times New Roman" w:cs="Times New Roman"/>
          <w:sz w:val="28"/>
          <w:szCs w:val="28"/>
        </w:rPr>
        <w:t xml:space="preserve">олюционной целеустремлённостью. </w:t>
      </w:r>
      <w:r w:rsidRPr="00AC3C6A">
        <w:rPr>
          <w:rFonts w:ascii="Times New Roman" w:hAnsi="Times New Roman" w:cs="Times New Roman"/>
          <w:sz w:val="28"/>
          <w:szCs w:val="28"/>
        </w:rPr>
        <w:t>Хотя «Всероссийская чрезвычайная комиссия» образовывалась в декабре 1917 года для борьбы против саботажа и бандитизма, то очень скоро её функции распространились на «искоренение контрреволюции», понимаемой в самом широком смысле. Меч, предназначенный для законной защиты революции от заговоров её реальных врагов оказался занесённым над всем обществом.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Лидеры большевизма, выдвигая на первый план классовую борьбу, абсолютизировали значение государства как орудия власти и отводили в нём особое место карательным инструментам. Сеть органов ВЧК опутала всю структуру гражданских и военных учреждений огромной страны. Осуществляя с санкции партии по своему разумению аресты, ведение следствий, вынесение и приведение приговоров в исполнение, массовые расстрелы «заложников», ВЧК возвела террор и беззаконие в разряд государственной политики. С той поры революционного произвола берёт своё начало специфическая идеология «чекизма», отлакированная и вылизанная последующими поколениями идеологов КПСС и публицистами, паразитирующими на «криминально-патриотической» романтике.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Эта идеология оказалась более живучей, чем структуры её породившие. Мало того, за всё время существования партийных карательных органов - от ВЧК до КГБ, она пользовалась некоторой симпатией и популярностью в массах, в то время как сами органы вызывали у людей, мягко говоря, страх.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Причиной этому, конечно же, наш традиционный двойной стандарт. Сущность совершенно секретной деятельности КГБ до сих пор никому в достаточной степени не известна, но из массового сознания не изъять того, что навечно оставили в нём многосерийные слащаво-мужественные телесериалы «о разведчиках». На самом же деле идеология «чекизма» и чекисты ничего общего с разведчиками не имеют.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Это узурпированное у народа право на его «защиту» его именем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от его «врагов» помимо его воли. Врагов определяет не народ, а партия. Враг нужен всегда. Без него станет ясной бессмысленность системы. Поэтому «чекизм» - это постоянный поиск «врагов» по придуманной удобной формуле: «Кто не снами, тот против нас». Это полное слияние идеологии спецслужбы не с законом, а с идеологией правящей партии.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Данная работа состоит из двух глав: содержание первой посвящено созданию ВЧК, второй – внесудебным полномочиям ВЧК.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Цель данной контрольной работы – систематизация изученного материала путем придания ему письменной формы.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Задачами данной работы являются:</w:t>
      </w:r>
    </w:p>
    <w:p w:rsidR="00AC3C6A" w:rsidRPr="00AC3C6A" w:rsidRDefault="00AC3C6A" w:rsidP="00AC3C6A">
      <w:pPr>
        <w:pStyle w:val="a3"/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Показать, как создавалось ВЧК.</w:t>
      </w:r>
    </w:p>
    <w:p w:rsidR="00AC3C6A" w:rsidRDefault="00AC3C6A" w:rsidP="00AC3C6A">
      <w:pPr>
        <w:pStyle w:val="a3"/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Показать внесудебные полномочия ВЧК</w:t>
      </w:r>
    </w:p>
    <w:p w:rsidR="00AC3C6A" w:rsidRDefault="00AC3C6A" w:rsidP="00AC3C6A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C3C6A">
        <w:rPr>
          <w:rFonts w:ascii="Times New Roman" w:hAnsi="Times New Roman" w:cs="Times New Roman"/>
          <w:b/>
          <w:bCs/>
          <w:sz w:val="28"/>
          <w:szCs w:val="28"/>
        </w:rPr>
        <w:t>1. СОЗДАНИЕ ВЧК</w:t>
      </w:r>
    </w:p>
    <w:p w:rsidR="00AC3C6A" w:rsidRPr="00AC3C6A" w:rsidRDefault="00AC3C6A" w:rsidP="00AC3C6A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После Октября Ленин быстро отбросил утопичные идеи быстрого подавления контрреволюции без «особого аппарата» принуждения в системе диктатуры пролетариата. Необходимость принятия экстренных мер он обосновал в записке Ф.Э. Дзержинскому всего через полтора месяца после петроградского переворота, 7(20) декабря 1917 года. В тот же день доклад Дзержинского был заслушан на заседании Совнаркома и принято решение образовать ВЧК. Ленин рассматривал ВЧК как «вещь абсолютно необходимую», роль которой в осуществлении диктатуры пролетариата просто «неоценима», как учреждение не уговаривающее, а карающее немедленно, являющееся «нашим разящим орудием против бесчисленных заговоров, бесчисленных покушений на Советскую власть». И на VI Всероссийском съезде Советов Ленин высказал положение о необходимости создания ВЧК, которое базировалось на четырёхлетнем опыте, что без специального органа защиты «власть трудящихся существовать не может».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С первых дней существования служб ВЧК Ленин неоднократно подчёркивал необходимость их деятельности не под чьим-то личным руководством, а под строжайшим контролем ВЦИК, СНК и ЦК РКП(б). Чекисты, говорил Ленин, обязаны поддерживать тесную связь с местными комитетами и ячейками РКП(б) и всеми коммунистами, которых он считал опорой ЧК в первую очередь. ВЧК Ленин видел так же в Советах, профсоюзах и других общественных организациях, эти требования нашли своё отражение в повседневной работе органов ВЧК, в подборе и воспитании чекистских кадров, заложили основы партийного руководства службой госбезопасности в советское время.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Российская реальность выдвинула в качестве одного из главных рычагов управления специальную службу безопасности государства. Разработанные Лениным принципы, формы и методы партийного руководства этой службой, подбора и воспитания кадров, общего отношения как к элитарному учреждению, явились основой того неподобающего места в аппарате управления страной, которое заняли органы госбезопасности в советский период.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Постановление о борьбе с контрреволюционными выступлениями встало в один ряд с первоочередными документами, принятыми II Всероссийским съездом советов. Съезд поручил всем местным Советам принять энергичные меры к пресечению подрывных акций, к обеспечению подлинно революционного порядка.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Активно шёл процесс формирования высших и местных органов государственной власти и государственного управления. Советская республика, как любое другое государство, должна была иметь в своей структуре службу безопасности. Толчком к ускорению решения вопроса о создании специализированного аппарата, способного выявлять и своевременно пресекать выступления против режима, стало ухудшение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и оперативной обстановки. После обсуждения Совнаркомом информации о готовящейся всероссийской забастовке чиновников Ф.Э. Дзержинскому было поручено составить особую комиссию для выработки эффективных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противодействия. Правовой основой стал наказ ВЦИК от 17 ноября, предоставивший непосредственно правительству проводить мероприятия по борьбе с контрреволюцией.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7(20) декабря 1917 года Совнарком образовал Всероссийскую чрезвычайную комиссию по борьбе с контрреволюцией и саботажем при Совете Народных Комиссаров, определил её задачи, структуру и меры наказания виновных. ВЧК вменялось вести предварительное следствие, пресекать акции контрреволюционеров и саботажников и вырабатывать специфические меры борьбы с противником. Расследованные дела передавались в ревтрибуналы. Мыслилось, что комиссия будет чрезвычайной не по действиям, но на период ухудшившегося для политического режима положения, однако эти иллюзорные представления продержались недолго. Создание ВЧК явилось закономерным актом государственного строительства, и Комиссия стала первым советским специализированным органом государственной безопасности</w:t>
      </w:r>
      <w:r w:rsidRPr="00AC3C6A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AC3C6A">
        <w:rPr>
          <w:rFonts w:ascii="Times New Roman" w:hAnsi="Times New Roman" w:cs="Times New Roman"/>
          <w:sz w:val="28"/>
          <w:szCs w:val="28"/>
        </w:rPr>
        <w:t>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Первой акцией ВЧК в Петрограде стало расследование деятельности Центрального стачечного комитета, объединявшего чиновников. Был произведён обыск, изъяты подписные листы, по которым производился сбор средств, задержаны активисты. Выяснилось, что забастовку планировалось распространить на всю Россию. В тоже время большевистские организации вели разъяснительные работы среди служащих, добивались расслоения среди чиновников и привлечения части из них на службу новой власти. Задержанные освобождались под подписку о дальнейшем неучастии в актах саботажа. 1 марта 1918 года ВЧК завершила дело и передала его в ревтрибунал, который на следующий день освободил единственного оставшегося под арестом – председателя «Союза союзов» Кондратьева. Сопротивление чиновников было сломлено и подсудимый не представлял опасности.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Первые месяцы деятельности для ВЧК были достаточно напряжёнными в оперативном плане. За первые послеоктябрьские месяцы ВРК, Советы, ВЧК нанесли ряд основательных ударов по буржуазным, помещичьим, монархическим и иным антиреволюционным силам. Одной из причин была малочисленность штатов ЧК, даже после переезда в Москву. М.Я Ляпис вспоминал, что в это время аппарат насчитывал всего 40 сотрудников, включая шоферов и курьеров. В губерниях подразделений ВЧК ещё не существовало вообще.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Противобольшевистские силы объединились под лозунгом «Вся власть Учредительному собранию!». 22 ноября 1917 года правые эсеры, народные социалисты, кадеты и меньшевики создали «Союз защиты Учредительного собрания» и попытались 28 ноября провести демонстрацию у Таврического дворца. Вечером того же дня состоялось заседание СНК, на котором демонстрацию бездоказательно связали с вооружёнными выступлениями генералов Л.Г. Корнилова и А.М. Каледина на Дону и полковника А.И. Дутова на Урале, заявили, что ЦК партии кадетов стал «политическим штабом всех контрреволюционных сил страны» и что «прямая гражданская война открыта по инициативе и под руководством кадетской партии». На основе этих голословных обвинений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был подписан декрет «Об аресте вождей гражданской войны против революции». Кадетская партия была охарактеризована как партия «врагов народа», руководители которой подлежали аресту и суду ревтрибунала, а рядовые члены должны были состоять под надзором местных Советов.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Итак, всего через месяц после революции вместо борьбы идей большевики взяли на вооружение силовые методы подавления политического противника. Репрессии подлежали все члены политической партии не за конкретные и доказанные преступления, а только за сам факт членства в данной партии, за то что имели другие взгляды и мнения. В дальнейшем такая практика стала обыденной: рядовые члены партий, оппозиционных РКП(б) должны были нести всю полноту ответственности за действия или намерения своих лидеров.</w:t>
      </w:r>
    </w:p>
    <w:p w:rsid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C6A">
        <w:rPr>
          <w:rFonts w:ascii="Times New Roman" w:hAnsi="Times New Roman" w:cs="Times New Roman"/>
          <w:b/>
          <w:bCs/>
          <w:sz w:val="28"/>
          <w:szCs w:val="28"/>
        </w:rPr>
        <w:t>2. ВНЕСУДЕБНЫЕ ПОЛНОМОЧИЯ ВЧК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Начавшееся в середине февраля 1918 года германское наступление на Петроград создало чрезвычайную ситуацию. В связи с этим 21 февраля Совнарком утвердил декрет «Социалистическое отечество в опасности!». На его основании ВЧК впервые получила право внесудебной расправы над «неприятельскими агентами, спекулянтами, громилами, хулиганами, контрреволюционными агитаторами, германскими шпионами».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Через день к ним добавили «саботажников и прочих паразитов», предупредив, что ВЧК не видит других мер, кроме беспощадного уничтожения таковых «на месте преступления».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В первой половине 1918 года в В</w:t>
      </w:r>
      <w:r>
        <w:rPr>
          <w:rFonts w:ascii="Times New Roman" w:hAnsi="Times New Roman" w:cs="Times New Roman"/>
          <w:sz w:val="28"/>
          <w:szCs w:val="28"/>
        </w:rPr>
        <w:t xml:space="preserve">ЧК была создана первая «тройка» </w:t>
      </w:r>
      <w:r w:rsidRPr="00AC3C6A">
        <w:rPr>
          <w:rFonts w:ascii="Times New Roman" w:hAnsi="Times New Roman" w:cs="Times New Roman"/>
          <w:sz w:val="28"/>
          <w:szCs w:val="28"/>
        </w:rPr>
        <w:t>в составе Ф. Э. Дзержинског</w:t>
      </w:r>
      <w:r>
        <w:rPr>
          <w:rFonts w:ascii="Times New Roman" w:hAnsi="Times New Roman" w:cs="Times New Roman"/>
          <w:sz w:val="28"/>
          <w:szCs w:val="28"/>
        </w:rPr>
        <w:t xml:space="preserve">о, В. А. Александровича и Я. Х. </w:t>
      </w:r>
      <w:r w:rsidRPr="00AC3C6A">
        <w:rPr>
          <w:rFonts w:ascii="Times New Roman" w:hAnsi="Times New Roman" w:cs="Times New Roman"/>
          <w:sz w:val="28"/>
          <w:szCs w:val="28"/>
        </w:rPr>
        <w:t>Петерса, облеченная расплывчатыми полномочиями. 15 июня вопрос о тройке пересмотрели и приняли решение составить ее из представителей партий большевиков и левых социалистов-революционеров с полномочиями решать вопросы о расстреле. Членами тройки были утверждены Дзержинский, Александрович и М. Я. Лацис, заместителями - В. В. Фомин, И. И. Ильин и Петерс. Приговоры тройки о расстреле должны были быть единогласными. Но конструированная таким образом тройка не способна была выполнять карательные задачи. Входившие в нее левые социалисты-революционеры стояли в принципиальной оппозиции к большевикам в вопросе о применении высшей меры наказания, ссылаясь на директивы партии. Ситуация изменилась после восстаний в Москве и Ярославле, когда левые эсеры были исключены из состава Комиссии</w:t>
      </w:r>
      <w:r w:rsidRPr="00AC3C6A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AC3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Летом в условиях интервенции и усилившейся гражданской войны государство ввело смертную казнь по приговорам революционных трибуналов. Усилилась карательная деятельность Всероссийской и местных ЧК - они начали выносить постановления о применении исключительной меры наказания в отношении контрреволюционеров. Одновременно вводилась еще одна мера борьбы - заложничество. Право брать заложников было предоставлено ВЧК и ее местным органам, что вне всякого сомнения явилось актом государственного терроризма. Применялась изоляция в концентрационные лагеря.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5 сентября 1918 года принимается постановление Совнаркома о красном терроре, знаменовавшее крайности внутриполитической обстановки. Так, в Лефортовском районе была принята резолюция, призывавшая расстреливать всех контрреволюционеров. Выдвигалось требование о предоставлении районам права самостоятельно принимать решения о расстрелах и создании мелких концентрационных лагерей. Президиуму ВЧК и районным чрезвычайным комиссиям предлагалось безотлагательно рассмотреть дела контрреволюционеров и всех явных расстрелять. Подготовленная инструкция о компетенции районных ЧК предоставила им право расстрела, но после утверждения ВЧК, право налагать наказания до шести месяцев тюремного заключения, а штрафы без ограничения; кроме того, предоставлялось право конфискации имущества.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После введения режима красного террора стали поступать отчеты с мест. Так, 24 сентября 1918 года Павловская уездная ЧК докладывала: «За все время своего существования Комиссией было расстреляно 27 лиц, контрреволюционеров - 12, заложников буржуазии - 12, и троих бандитов». Чрезвычайная Западная комиссия сообщала, что после покушения на жизнь бывшего члена ЧК Михаила Марченко было приговорено к расстрелу 50 человек заложников, из которых 12 человек уже расстреляли.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Правившая верхушка преследовала цель устрашить население страны. Л. Д. Троцкий писал: «Устрашение есть могущественное средство политики и международной, и внутренней. Война, как и революция, основана на устрашении. Победоносная война истребляет по общему правилу лишь незначительную часть побежденной армии, устрашая остальных, сламывая их волю; так же действует революция: она убивает единицы, устрашает тысячи. В этом смысле красный террор принципиально отличается от вооруженного восстания, прямым продолжением которого он является». М. Я. Лацис также пытается обосновать необходимость массовой ликвидации буржуазии: «Не ищите в деле обвинительных улик о том, восстал ли он против Совета оружием или словом. Первым долгом вы должны его спросить, к какому классу он принадлежит, какого он происхождения, какое у него образование и какова у него профессия, Все эти вопросы должны разрешить судьбу обвиняемого. В этом смысл красного террора».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После достижения цели массового террора полномочия чрезвычайных комиссий были несколько ограничены. В Положении ВЦИК о Всероссийской и местных чрезвычайных комиссиях от 28 октября 1918 года губернским ЧК предоставлялось право заключения в дома принудительных работ; в местностях, объявленных на военном или осадном положении, применение высшей меры наказания определялось постановлением коллегии из трех человек, персональный состав которой утверждался президиумом ВЧК. Такие же права предоставлялись особым отделам охраны границ и окружным транспортным отделам.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В Положении об организации ВЧК от 18 ноября 1918 года подтверждалось право ВЧК на применение внесудебных полномочий, в том числе и высшей меры наказания. В инструкции для районных чрезвычайных комиссий подробно перечислялись категории лиц, в отношении которых можно применять расстрел, указывалось, что данная категория дел обсуждается обязательно в присутствии представителя комитета партии коммунистов, причем расстрелы приводились в исполнение лишь при условии единогласного решения трех членов комиссии. По требованию представителя партийного комитета или в случае разногласия среди членов комиссии, дело передавалось на решение ВЧК. Эти же комиссии имели право </w:t>
      </w:r>
    </w:p>
    <w:p w:rsidR="00AC3C6A" w:rsidRPr="00AC3C6A" w:rsidRDefault="00AC3C6A" w:rsidP="00AC3C6A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заключения в концентрационный лагерь с организацией принудительных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 xml:space="preserve">работ. Указывалось, что «в целях терроризации буржуазии следует также применять выселение буржуазии, давая на выезд самый короткий срок (24 - 36 часов)».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В инструкции чрезвычайным комиссиям на местах, утвержденной ВЧК 1 декабря 1918 года, определялось: ЧК, являясь органом борьбы в острые моменты революции, применяют в случае необходимости пресечения или прекращения незаконных действий наказания в административном порядке, в том числе штрафы, выселки, расстрелы и т. п. Право на применение высшей меры наказания имели губернские, фронтовые, армейские и областные ЧК. Таким образом, расстреливать можно было в административном порядке, без предания человека суду.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28 декабря 1918 года президиум ВЧК отклонил предложение Петерса, чтобы чекисты вершили расстрелы с ведома ревтрибуналов на том основании, что «ревтрибуналы не перешли в ведение ВЧК». В состав новой утвержденной судебной тройки ВЧК вошли Дзержинский, Лацис, М. С. Кедров и И. К. Ксенофонтов. 4 февраля 1919 года на заседании ЦК РКП(б) было принято постановление о полномочиях ЧК и ревтрибуналов. Комиссии в составе Ф. Э. Дзержинского, И. В. Сталина и Л. Б. Каменева было поручено подготовить проект положения ВЦИК о чрезвычайных комиссиях, основой которого становилось следующее: право вынесения приговоров передавалось из ЧК в ревтрибуналы, аппарат ЧК оставался в качестве розыскных органов и органов непосредственной борьбы с вооруженными выступлениями (бандитскими, контрреволюционными и т. п.), за ЧК сохранялось право расстрелов при объявлении той или иной местности на военном положении. Таким образом, главными функциями ЧК определялись розыск и право внесудебных расстрелов при введении военного положения. Но через месяц, в марте, в связи с наступлением армии Колчака, все права ВЧК осени 1918 года были восстановлены.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24 апреля 1919 года ВЦИК принял дополнение к Положению о ЧК. Право вынесения приговоров по всем делам, возникающим в чрезвычайных комиссиях, предлагалось передавать реорганизованным трибуналам. При наличии вооруженных выступлений (контрреволюционных или бандитских) за ЧК сохранялось право непосредственной расправы для пресечения преступлений. Такое же право сохранялось за ЧК в местностях, объявленных на военном положении за преступления, указанные в самом постановлении о введении военного положения. Кроме того, ВЧК предоставлялось право заключения в концентрационный лагерь.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Постановление ВЦИК от 16 июня 1919 года определило организацию лагерей принудительных работ, которая возлагалась на губернские чрезвычайные комиссии. Во всех губернских городах в указанные особой инструкцией сроки должны были быть открыты лагеря, рассчитанные не менее чем на 300 человек каждый. С разрешения НКВД такие лагеря могли открывать и в уездах. Заключению в лагеря подлежали те лица и категории лиц, относительно которых были вынесены постановления отделов управления, ЧК, революционных трибуналов, народных судов и других советских органов, которым предоставлялось это право декретами и распоряжениями.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Председатель ВЧК Ф.Э. Дзержинский 19 июня 1919 года утвердил Инструкцию о чрезвычайных комиссиях на местах. Делами по борьбе с контрреволюцией, спекуляцией и преступлениями по должности ведали организованные местными советами или их исполкомами на одинаковых правах с иными отделами местные чрезвычайные комиссии. Обязанностью губернских ЧК являлось наблюдение за революционным порядком в губернии. Комиссии при объявлении обслуживаемой территории на особом положении имели право применять репрессивные меры в административном порядке.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Своим постановлением об изъятиях из общей подсудности в местностях, объявленных на военном положении от 20 июня 1919 года ВЦИК конкретизировал пункт 3 постановления ЦИК о ВЧК (от 24 апреля 1919 года) о праве непосредственной расправы в местностях объявленных на военном положении. В разъяснении постановления ВЦИК от 20 июня 1919 года определялось право чекистских органов в местностях, объявленных на военном положении, на непосредственную расправу (вплоть до расстрела) за нижеследующие доказанные преступные деяния</w:t>
      </w:r>
      <w:r w:rsidRPr="00AC3C6A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AC3C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- принадлежность к контрреволюционной организации и участие в заговоре против советской власти;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- государственная измена и шпионаж;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- укрывательство изменников и шпионов;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- сокрытие в контрреволюционных целях боевого оружия;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- подделку денежных знаков;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- подлог в контрреволюционных целях документов;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- организацию поджогов и взрывов;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- умышленное истребление или повреждение железнодорожных путей, мостов и других сооружений, телеграфного или телефонного сообщения, складов воинского вооружения, снаряжения, продовольственных и фуражных запасов;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- бандитизм (участие в шайке, составившейся для убийств, разбоя и грабежей), пособничество им и укрывательство;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- разбой и вооруженный грабеж;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- торговлю кокаином.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21 октября 1919 года был издан декрет СНК о создании для дел о крупных спекуляциях Особого революционного трибунала при ВЧК, приговоры которого становились окончательными и обжалованию в кассационном порядке не подлежали. Особый революционный трибунал в своих суждениях должен был руководствоваться исключительно интересами революции, не связывая себя никакими формами судопроизводства и процессуальными тонкостями, его заседания проходили гласно.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Приказ ВЧК от 17 декабря 1919 года предписывал местным органам брать на учет «все буржуазное население, могущее служить заложниками», как-то: бывших помещиков, купцов, фабрикантов, заводчиков, банкиров, крупных домовладельцев, офицеров старой армии, видных чиновников царского времени и времени Керенского, родственников белогвардейцев, а также видных функционеров «противосоветских партий», склонных остаться за фронтом в случае отступления красных. Списки представлялись в ВЧК, которая решала, когда приступать к взятию заложников.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25 декабря 1919 года съезд особых отделов принял инструкцию, в которой как средство осуществления возложенных задач в числе других мер разрешил применять высылку из фронтовой полосы, заключение в лагеря принудительных работ и прочие административные меры, являвшиеся прерогативой губернских ЧК.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ВЦИК и Совнарком своим постановлением от 17 января 1920 года отменили применение высшей меры наказания. В этой связи президиум ВЧК 15 февраля направил инструкцию чрезвычайным комиссиям, особым отделам и их отделениям на местах о праве налагать за преступления такие наказания, как штрафы и заключение в концлагерь; дела могли передаваться в трибуналы или народные суды. Губернские ЧК имели также право подвергать заключению без срока лиц, опасных для революции, но уведомляя в каждом случае президиум ВЧК. Мера наказания определялась коллегией губчк и по представлению начальника особого отдела.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В связи с угрожающими размерами бандитизма Совнарком 19 февраля 1920 года постановил «лиц, обвиняемых в вооруженных грабежах, разбойных нападениях и в налетах, предавать суду революционного военного трибунала». ВЧК и трибуналу, по взаимному соглашению, было предоставлено право учреждать военные трибуналы в местностях, опасных в отношении бандитизма. Определялись судопроизводственные правила. В то же время, в целях борьбы с нарушителями трудовой дисциплины и с «паразитическими элементами населения» в случае, если дознанием не установлено достаточных данных для направления дел о них в порядке уголовного преследования, за ВЧК и губернскими ЧК сохранялось право заключения таких лиц в лагерь принудительных работ на срок не свыше пяти лет. Таким образом, чрезвычайные комиссии могли без достаточных доказательств, минуя судебные органы, проводить репрессивную политику.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Разразившаяся советско-польская война вызвала решение Совета Труда и Обороны об объявлении во многих местностях военного положения и предоставлении права расстрела Петроградской, Новгородской, Олонецкой, Тверской, Архангельской, Ярославской, Московской, Нижегородской, Тульской, Симбирской, Пензенской, Тамбовской, Воронежской, Саратовской, Брянской и Казанской губернским чрезвычайным комиссиям; Череповецкой, Вологодской, Северо-Двинской, Иваново-Вознесенской, Владимирской, Рязанской и Орловской губчк предоставлялось право выносить приговоры о расстреле в исключительных случаях, приводя их в исполнение после санкции ВЧК. Особые отделы фронтов и армий по постановлению троек, персонально утвержденных ВЧК, имели право применения высшей меры наказания по обвинению в шпионаже, бандитизме, участии в вооруженном восстании. 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Ко времени окончания боевых действий карательные функции не изменились. Так, декрет СНК от 29 августа 1921 года позволял тех иностранных граждан, образ жизни, деятельности и поведения которых признавались несовместимыми с принципами и укладом жизни рабоче-крестьянского государства, высылать из пределов РСФСР по постановлению ВЧК или приговорам судебных органов.</w:t>
      </w:r>
    </w:p>
    <w:p w:rsidR="00AC3C6A" w:rsidRP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В декабре 1921 года ВЦИК принял решение сузить полномочия органов ВЧК и усилить начала законности. В условиях мира отпала нужда в органе, который пользовался, по характеристике Лациса «в своей борьбе приемами и следственных комиссий, и судов, и трибуналов, и военных сил». ВЧК была упразднена 6 февраля 1922 года декретом ВЦИК. Для выполнения задач по подавлению контрреволюционных выступлений, бандитизма, борьбе со шпионажем, охране железнодорожных и водных путей, границы при НКВД РСФСР было создано Государственное политическое управление. </w:t>
      </w:r>
    </w:p>
    <w:p w:rsid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 xml:space="preserve">В последние годы встал вопрос о числе жертв органов ВЧК. Из книги в книгу попадает цифра Роберта Конквиста - 140 тысяч человек. Так ли это? Статистические материалы свидетельствует, что число расстрелянных органами ВЧК в целом соответствует тем цифрам, что приводил Лацис за 1918 и семь месяцев 1919 года: соответственно 6300 и 2089 человек. Расхождение наблюдается только по количеству учреждений, представивших сведения. По Лацису, сведения представлены из 20 губерний, статистические таблицы свидетельствуют - из 34 губерний в 1918 году и из 35 - в 1919 году. По 17 регионам сведения не перепроверялись. В 1921 году по статистике были расстреляны 9701 человек. За контрреволюционные преступления в 1918 году были расстреляны 1637 человек, за семь месяцев 1919 года - 387 человек. Таким образом, почти за три года органы ВЧК уничтожили 17,5 тысяч человек. Вне всякого сомнения, эти данные не полные. </w:t>
      </w:r>
    </w:p>
    <w:p w:rsidR="00AC3C6A" w:rsidRPr="00AC3C6A" w:rsidRDefault="00AC3C6A" w:rsidP="00AC3C6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C3C6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C6A" w:rsidRDefault="00AC3C6A" w:rsidP="00AC3C6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ab/>
        <w:t>Сделав простейшие выводы из всего вышеизложенного, можно прийти к одной простой схеме, что органы государственной безопасности, какими бы особыми и секретными они не были, как составная часть государственного аппарата должны, прежде всего, служить не отдельным политическим интересам и амбициям, а стоять на страже подлинных интересов народа и Отечества.</w:t>
      </w:r>
    </w:p>
    <w:p w:rsidR="00AC3C6A" w:rsidRDefault="00AC3C6A" w:rsidP="00AC3C6A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C3C6A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C6A">
        <w:rPr>
          <w:rFonts w:ascii="Times New Roman" w:hAnsi="Times New Roman" w:cs="Times New Roman"/>
          <w:sz w:val="28"/>
          <w:szCs w:val="28"/>
        </w:rPr>
        <w:t xml:space="preserve"> Исаев И.А. История государства и права России. – М.: «ЮРИСТ»,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1999г. – 608с.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C6A">
        <w:rPr>
          <w:rFonts w:ascii="Times New Roman" w:hAnsi="Times New Roman" w:cs="Times New Roman"/>
          <w:sz w:val="28"/>
          <w:szCs w:val="28"/>
        </w:rPr>
        <w:t xml:space="preserve"> История отечественного государства и права/под. ред. О.И. Чистякова.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- М.: БЕК, 1999г. – 584с.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C6A">
        <w:rPr>
          <w:rFonts w:ascii="Times New Roman" w:hAnsi="Times New Roman" w:cs="Times New Roman"/>
          <w:sz w:val="28"/>
          <w:szCs w:val="28"/>
        </w:rPr>
        <w:t xml:space="preserve"> Рассказов А.П. Карательные органы в процессе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функционирования административно-командной системы в советском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6A">
        <w:rPr>
          <w:rFonts w:ascii="Times New Roman" w:hAnsi="Times New Roman" w:cs="Times New Roman"/>
          <w:sz w:val="28"/>
          <w:szCs w:val="28"/>
        </w:rPr>
        <w:t>государстве. – М.: Былина, 1999г. – 530с.</w:t>
      </w:r>
    </w:p>
    <w:p w:rsidR="00AC3C6A" w:rsidRPr="00AC3C6A" w:rsidRDefault="00AC3C6A" w:rsidP="00AC3C6A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C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3C6A">
        <w:rPr>
          <w:rFonts w:ascii="Times New Roman" w:hAnsi="Times New Roman" w:cs="Times New Roman"/>
          <w:sz w:val="28"/>
          <w:szCs w:val="28"/>
        </w:rPr>
        <w:t xml:space="preserve"> Чибиряев С.А. История государства и права Росии. – М.: Былина, 2000г. – 528с.</w:t>
      </w:r>
      <w:bookmarkStart w:id="0" w:name="_GoBack"/>
      <w:bookmarkEnd w:id="0"/>
    </w:p>
    <w:sectPr w:rsidR="00AC3C6A" w:rsidRPr="00AC3C6A" w:rsidSect="00AC3C6A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4C" w:rsidRDefault="00A36E4C">
      <w:r>
        <w:separator/>
      </w:r>
    </w:p>
  </w:endnote>
  <w:endnote w:type="continuationSeparator" w:id="0">
    <w:p w:rsidR="00A36E4C" w:rsidRDefault="00A3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6A" w:rsidRDefault="00637AB3" w:rsidP="00AC3C6A">
    <w:pPr>
      <w:pStyle w:val="a9"/>
      <w:framePr w:wrap="auto" w:vAnchor="text" w:hAnchor="page" w:x="10882" w:y="-288"/>
      <w:rPr>
        <w:rStyle w:val="ab"/>
      </w:rPr>
    </w:pPr>
    <w:r>
      <w:rPr>
        <w:rStyle w:val="ab"/>
        <w:noProof/>
      </w:rPr>
      <w:t>3</w:t>
    </w:r>
  </w:p>
  <w:p w:rsidR="00AC3C6A" w:rsidRDefault="00AC3C6A" w:rsidP="00AC3C6A">
    <w:pPr>
      <w:pStyle w:val="a9"/>
      <w:framePr w:w="880" w:h="437" w:hRule="exact" w:wrap="auto" w:vAnchor="text" w:hAnchor="page" w:x="10522" w:y="-468"/>
      <w:ind w:right="360"/>
      <w:rPr>
        <w:rStyle w:val="ab"/>
        <w:sz w:val="28"/>
        <w:szCs w:val="28"/>
      </w:rPr>
    </w:pPr>
  </w:p>
  <w:p w:rsidR="00AC3C6A" w:rsidRPr="00AC3C6A" w:rsidRDefault="00AC3C6A" w:rsidP="00AC3C6A">
    <w:pPr>
      <w:pStyle w:val="a9"/>
      <w:framePr w:w="880" w:h="437" w:hRule="exact" w:wrap="auto" w:vAnchor="text" w:hAnchor="page" w:x="10522" w:y="-468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4C" w:rsidRDefault="00A36E4C">
      <w:r>
        <w:separator/>
      </w:r>
    </w:p>
  </w:footnote>
  <w:footnote w:type="continuationSeparator" w:id="0">
    <w:p w:rsidR="00A36E4C" w:rsidRDefault="00A36E4C">
      <w:r>
        <w:continuationSeparator/>
      </w:r>
    </w:p>
  </w:footnote>
  <w:footnote w:id="1">
    <w:p w:rsidR="00A36E4C" w:rsidRDefault="00AC3C6A" w:rsidP="00AC3C6A">
      <w:pPr>
        <w:pStyle w:val="ac"/>
      </w:pPr>
      <w:r>
        <w:rPr>
          <w:rStyle w:val="ae"/>
        </w:rPr>
        <w:footnoteRef/>
      </w:r>
      <w:r>
        <w:t xml:space="preserve"> Исаев И.А. История государства и права России. – М.: Юрист, 1999г. – с. 209</w:t>
      </w:r>
    </w:p>
  </w:footnote>
  <w:footnote w:id="2">
    <w:p w:rsidR="00A36E4C" w:rsidRDefault="00AC3C6A">
      <w:pPr>
        <w:pStyle w:val="ac"/>
      </w:pPr>
      <w:r>
        <w:rPr>
          <w:rStyle w:val="ae"/>
        </w:rPr>
        <w:footnoteRef/>
      </w:r>
      <w:r>
        <w:t xml:space="preserve"> История отечественного государства и права/под. ред. О.И. Чистякова. – М.: БЕК, 1999г. – с. 201</w:t>
      </w:r>
    </w:p>
  </w:footnote>
  <w:footnote w:id="3">
    <w:p w:rsidR="00A36E4C" w:rsidRDefault="00AC3C6A">
      <w:pPr>
        <w:pStyle w:val="ac"/>
      </w:pPr>
      <w:r>
        <w:rPr>
          <w:rStyle w:val="ae"/>
        </w:rPr>
        <w:footnoteRef/>
      </w:r>
      <w:r>
        <w:t xml:space="preserve"> Чибиряев С.А. История государства и права России. – М.: Былина, 2000г. – с.336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6A" w:rsidRPr="00AC3C6A" w:rsidRDefault="00AC3C6A" w:rsidP="00AC3C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3D2B"/>
    <w:multiLevelType w:val="hybridMultilevel"/>
    <w:tmpl w:val="1E061EC2"/>
    <w:lvl w:ilvl="0" w:tplc="6D70C3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7EC4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D025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29"/>
    <w:rsid w:val="002521FA"/>
    <w:rsid w:val="00637AB3"/>
    <w:rsid w:val="007D6A29"/>
    <w:rsid w:val="00A36E4C"/>
    <w:rsid w:val="00AC3C6A"/>
    <w:rsid w:val="00CE3B6D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529473-289E-4E45-ACCF-DF0238F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keepNext/>
      <w:keepLines/>
    </w:pPr>
    <w:rPr>
      <w:b/>
      <w:bCs/>
      <w:spacing w:val="400"/>
      <w:sz w:val="22"/>
      <w:szCs w:val="22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pPr>
      <w:keepNext/>
      <w:keepLines/>
      <w:jc w:val="center"/>
    </w:pPr>
    <w:rPr>
      <w:sz w:val="36"/>
      <w:szCs w:val="36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ac">
    <w:name w:val="footnote text"/>
    <w:basedOn w:val="a"/>
    <w:link w:val="ad"/>
    <w:uiPriority w:val="99"/>
    <w:semiHidden/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f1">
    <w:name w:val="Normal (Web)"/>
    <w:aliases w:val="Обычный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>no</Company>
  <LinksUpToDate>false</LinksUpToDate>
  <CharactersWithSpaces>25845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>Создание и развитие системы репрессивных органов в советский период.</dc:subject>
  <dc:creator>jeka</dc:creator>
  <cp:keywords/>
  <dc:description/>
  <cp:lastModifiedBy>admin</cp:lastModifiedBy>
  <cp:revision>2</cp:revision>
  <cp:lastPrinted>2000-05-10T06:35:00Z</cp:lastPrinted>
  <dcterms:created xsi:type="dcterms:W3CDTF">2014-03-15T17:07:00Z</dcterms:created>
  <dcterms:modified xsi:type="dcterms:W3CDTF">2014-03-15T17:07:00Z</dcterms:modified>
</cp:coreProperties>
</file>