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536F" w:rsidRPr="00D37A1F" w:rsidRDefault="005B536F" w:rsidP="005B536F">
      <w:pPr>
        <w:spacing w:before="120" w:after="0" w:line="240" w:lineRule="auto"/>
        <w:jc w:val="center"/>
        <w:rPr>
          <w:rFonts w:ascii="Times New Roman" w:hAnsi="Times New Roman"/>
          <w:b/>
          <w:sz w:val="32"/>
        </w:rPr>
      </w:pPr>
      <w:r w:rsidRPr="00D37A1F">
        <w:rPr>
          <w:rFonts w:ascii="Times New Roman" w:hAnsi="Times New Roman"/>
          <w:b/>
          <w:sz w:val="32"/>
        </w:rPr>
        <w:t>Выбор таможенного представителя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Закупка оборудования за границей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участие в международных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выставках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покупка и продажа товара</w:t>
      </w:r>
      <w:r>
        <w:rPr>
          <w:rFonts w:ascii="Times New Roman" w:hAnsi="Times New Roman"/>
        </w:rPr>
        <w:t xml:space="preserve"> - </w:t>
      </w:r>
      <w:r w:rsidRPr="00D37A1F">
        <w:rPr>
          <w:rFonts w:ascii="Times New Roman" w:hAnsi="Times New Roman"/>
        </w:rPr>
        <w:t>вот далеко не полный перечень того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с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чем приходится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сталкиваться организациям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ведущим внешне-экономическую деятельность.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Таможенное оформление товаров</w:t>
      </w:r>
      <w:r>
        <w:rPr>
          <w:rFonts w:ascii="Times New Roman" w:hAnsi="Times New Roman"/>
        </w:rPr>
        <w:t xml:space="preserve"> - </w:t>
      </w:r>
      <w:r w:rsidRPr="00D37A1F">
        <w:rPr>
          <w:rFonts w:ascii="Times New Roman" w:hAnsi="Times New Roman"/>
        </w:rPr>
        <w:t>процедура не такая уж и простая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как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кажется на первый взгляд. Она требует специальных знаний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программного обеспечения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налаженных связей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поэтому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особенно при небольших объемах или в сложных случаях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разумно пользоваться услугами таможенного брокера.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На сегодняшний день в регионе деятельности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любой таможни обычно работает несколько таможенных представителей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так что выбор у участника ВЭД есть. Иногда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представители таможенного брокера сами приезжают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на предприятия для знакомства или рассылают свои предложения по почте.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По большому счету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при выборе можно руководствоваться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тремя критериями: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Наличие Свидетельства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о включении в Реестр таможенного брокера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Положение на рынке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стаж работы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Штат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ассортимент услуг и ценовая политика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Наличие Свидетельства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о включении в Реестр таможенного брокера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У легально работающего брокера есть свидетельство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о включении в Реестр таможенного брокера. Попросите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копию свидетельства и учредительные документы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Не соглашайтесь проводить таможенное оформление за своей печатью! Это означает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что по каким – либо причинам брокер не хочет брать на себя ответственность или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не имеет права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работать легально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так называемый «серый брокер».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Для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участника ВЭД это чревато тем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что в случае каких- то спорных ситуаций или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в случае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нарушения таможенных правил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вину брокера доказать будет очень сложно.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Положение на рынке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Обычно в регионах работают филиалы крупных брокерских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организаций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что для участника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ВЭД очень даже неплохо: некоторые вопросы можно будет решать более оперативно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так как обычно головные подразделения оказывают своим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филиалам поддержку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в том числе и юридическую.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В пределах одной таможни есть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как и крупные компании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так и достаточно небольшие.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Возможно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есть смысл стать любимым клиентом такой небольшой организации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чем рядовым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в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крупной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тем более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что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при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оформлении очень важно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как в целом взаимодействует с таможней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брокерская фирма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так и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ее сотрудники в частности.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Также следует обратить внимание на срок работы брокера на рынке – чем срок работы больше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тем лучше!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Штат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услуги таможенного оформления грузов и ценовая политика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В штате таможенного представителя обязательно должны быть аттестованные специалисты. Стремиться оформляться у аттестованного специалиста особенно не стоит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так как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часто опытные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работники работают без аттестата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а новичков в целях подготовки обязывают получать аттестат.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Обратите внимание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какие услуги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помимо непосредственно таможенного оформления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предлагает брокер. Это могут быть услуги по сертификации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доставка документов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получение классификационных решений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комплекс логистических услуг. Конечно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наиболее удобен вариант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когда клиенту предлагается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комплексное обслуживание.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Стоимость услуг</w:t>
      </w:r>
      <w:r>
        <w:rPr>
          <w:rFonts w:ascii="Times New Roman" w:hAnsi="Times New Roman"/>
        </w:rPr>
        <w:t xml:space="preserve"> - </w:t>
      </w:r>
      <w:r w:rsidRPr="00D37A1F">
        <w:rPr>
          <w:rFonts w:ascii="Times New Roman" w:hAnsi="Times New Roman"/>
        </w:rPr>
        <w:t>отдельный вопрос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который уместно обсудить при заключении договора. Понятно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что заказчику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хочется как можно дешевле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а исполнителю хотелось бы продать свои услуги дороже. В целом регионе складывается определенный ценовой уровень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зависящий от уровня сложности оформления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дополнительных затрат. Но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о сидке можно договориться практически всегда. Поэтому было бы хорошо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узнать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расценки всех таможенных брокеров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чтобы быть в курсе общей ценовой политики.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Конечно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идеальный брокер-это тот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с которым складываются хорошие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рабочие отношения. Можно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заключить договоры на таможенное оформление сразу с несколькими компаниями и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поработать с каждым из них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а потом уже выбрать «своего».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Некоторые участники ВЭД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при большом объеме поставок работают сразу с несколькими компаниями</w:t>
      </w:r>
      <w:r>
        <w:rPr>
          <w:rFonts w:ascii="Times New Roman" w:hAnsi="Times New Roman"/>
        </w:rPr>
        <w:t xml:space="preserve">, </w:t>
      </w:r>
      <w:r w:rsidRPr="00D37A1F">
        <w:rPr>
          <w:rFonts w:ascii="Times New Roman" w:hAnsi="Times New Roman"/>
        </w:rPr>
        <w:t>другие же терпеливо дожидаются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конкретного специалиста.</w:t>
      </w:r>
    </w:p>
    <w:p w:rsidR="005B536F" w:rsidRPr="00D37A1F" w:rsidRDefault="005B536F" w:rsidP="005B536F">
      <w:pPr>
        <w:spacing w:before="120" w:after="0" w:line="240" w:lineRule="auto"/>
        <w:ind w:firstLine="567"/>
        <w:jc w:val="both"/>
        <w:rPr>
          <w:rFonts w:ascii="Times New Roman" w:hAnsi="Times New Roman"/>
        </w:rPr>
      </w:pPr>
      <w:r w:rsidRPr="00D37A1F">
        <w:rPr>
          <w:rFonts w:ascii="Times New Roman" w:hAnsi="Times New Roman"/>
        </w:rPr>
        <w:t>Главное – хороший результат и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профессионализм и взаимопонимание</w:t>
      </w:r>
      <w:r>
        <w:rPr>
          <w:rFonts w:ascii="Times New Roman" w:hAnsi="Times New Roman"/>
        </w:rPr>
        <w:t xml:space="preserve"> </w:t>
      </w:r>
      <w:r w:rsidRPr="00D37A1F">
        <w:rPr>
          <w:rFonts w:ascii="Times New Roman" w:hAnsi="Times New Roman"/>
        </w:rPr>
        <w:t>таможенного представителя и его клиента.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536F"/>
    <w:rsid w:val="001A35F6"/>
    <w:rsid w:val="00373BAC"/>
    <w:rsid w:val="003E2717"/>
    <w:rsid w:val="004B07C2"/>
    <w:rsid w:val="005B536F"/>
    <w:rsid w:val="00811DD4"/>
    <w:rsid w:val="00D37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916EE28-C588-42EB-9B23-03FF2F572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36F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B536F"/>
    <w:rPr>
      <w:rFonts w:cs="Times New Roman"/>
      <w:color w:val="0000FF"/>
      <w:u w:val="single"/>
    </w:rPr>
  </w:style>
  <w:style w:type="character" w:styleId="a4">
    <w:name w:val="FollowedHyperlink"/>
    <w:uiPriority w:val="99"/>
    <w:rsid w:val="005B536F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Выбор таможенного представителя</vt:lpstr>
    </vt:vector>
  </TitlesOfParts>
  <Company>Home</Company>
  <LinksUpToDate>false</LinksUpToDate>
  <CharactersWithSpaces>3900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Выбор таможенного представителя</dc:title>
  <dc:subject/>
  <dc:creator>User</dc:creator>
  <cp:keywords/>
  <dc:description/>
  <cp:lastModifiedBy>Irina</cp:lastModifiedBy>
  <cp:revision>2</cp:revision>
  <dcterms:created xsi:type="dcterms:W3CDTF">2014-08-12T14:01:00Z</dcterms:created>
  <dcterms:modified xsi:type="dcterms:W3CDTF">2014-08-12T14:01:00Z</dcterms:modified>
</cp:coreProperties>
</file>