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05" w:rsidRDefault="003D1105"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center"/>
        <w:rPr>
          <w:b/>
          <w:sz w:val="40"/>
          <w:szCs w:val="20"/>
        </w:rPr>
      </w:pPr>
    </w:p>
    <w:p w:rsidR="003A28F7" w:rsidRPr="00490CAC" w:rsidRDefault="003A28F7" w:rsidP="003A28F7">
      <w:pPr>
        <w:jc w:val="center"/>
        <w:rPr>
          <w:b/>
          <w:sz w:val="40"/>
          <w:szCs w:val="20"/>
        </w:rPr>
      </w:pPr>
    </w:p>
    <w:p w:rsidR="003A28F7" w:rsidRPr="00490CAC" w:rsidRDefault="003A28F7" w:rsidP="003A28F7">
      <w:pPr>
        <w:jc w:val="center"/>
        <w:rPr>
          <w:b/>
          <w:sz w:val="40"/>
          <w:szCs w:val="20"/>
        </w:rPr>
      </w:pPr>
    </w:p>
    <w:p w:rsidR="003A28F7" w:rsidRPr="00490CAC" w:rsidRDefault="000D7DDE" w:rsidP="003A28F7">
      <w:pPr>
        <w:jc w:val="center"/>
        <w:rPr>
          <w:sz w:val="28"/>
          <w:szCs w:val="20"/>
        </w:rPr>
      </w:pPr>
      <w:r>
        <w:rPr>
          <w:b/>
          <w:caps/>
          <w:sz w:val="40"/>
          <w:szCs w:val="40"/>
        </w:rPr>
        <w:t>контрольная</w:t>
      </w:r>
      <w:r w:rsidR="003A28F7" w:rsidRPr="00490CAC">
        <w:rPr>
          <w:b/>
          <w:sz w:val="40"/>
          <w:szCs w:val="20"/>
        </w:rPr>
        <w:t xml:space="preserve"> РАБОТА </w:t>
      </w:r>
    </w:p>
    <w:p w:rsidR="003A28F7" w:rsidRPr="00490CAC" w:rsidRDefault="003A28F7" w:rsidP="003A28F7">
      <w:pPr>
        <w:jc w:val="center"/>
        <w:rPr>
          <w:sz w:val="28"/>
          <w:szCs w:val="20"/>
        </w:rPr>
      </w:pPr>
    </w:p>
    <w:p w:rsidR="003A28F7" w:rsidRPr="00490CAC" w:rsidRDefault="003A28F7" w:rsidP="003A28F7">
      <w:pPr>
        <w:jc w:val="center"/>
        <w:rPr>
          <w:sz w:val="28"/>
          <w:szCs w:val="20"/>
        </w:rPr>
      </w:pPr>
      <w:r w:rsidRPr="00490CAC">
        <w:rPr>
          <w:sz w:val="28"/>
          <w:szCs w:val="20"/>
        </w:rPr>
        <w:t>по дисциплине «</w:t>
      </w:r>
      <w:r w:rsidR="000D7DDE">
        <w:rPr>
          <w:sz w:val="28"/>
          <w:szCs w:val="20"/>
        </w:rPr>
        <w:t>Финансовый</w:t>
      </w:r>
      <w:r w:rsidR="00C3115D">
        <w:rPr>
          <w:sz w:val="28"/>
          <w:szCs w:val="20"/>
        </w:rPr>
        <w:t xml:space="preserve"> учет</w:t>
      </w:r>
      <w:r w:rsidR="000D7DDE">
        <w:rPr>
          <w:sz w:val="28"/>
          <w:szCs w:val="20"/>
        </w:rPr>
        <w:t xml:space="preserve"> – 2</w:t>
      </w:r>
      <w:r w:rsidRPr="00490CAC">
        <w:rPr>
          <w:sz w:val="28"/>
          <w:szCs w:val="20"/>
        </w:rPr>
        <w:t>»</w:t>
      </w:r>
    </w:p>
    <w:p w:rsidR="003A28F7" w:rsidRPr="00490CAC" w:rsidRDefault="003A28F7" w:rsidP="003A28F7">
      <w:pPr>
        <w:jc w:val="center"/>
        <w:rPr>
          <w:sz w:val="28"/>
          <w:szCs w:val="20"/>
        </w:rPr>
      </w:pPr>
    </w:p>
    <w:p w:rsidR="003A28F7" w:rsidRPr="00490CAC" w:rsidRDefault="003A28F7" w:rsidP="003A28F7">
      <w:pPr>
        <w:jc w:val="center"/>
        <w:rPr>
          <w:sz w:val="28"/>
          <w:szCs w:val="20"/>
        </w:rPr>
      </w:pPr>
      <w:r w:rsidRPr="00490CAC">
        <w:rPr>
          <w:sz w:val="28"/>
          <w:szCs w:val="20"/>
        </w:rPr>
        <w:t xml:space="preserve">на тему: </w:t>
      </w:r>
      <w:r w:rsidR="00993BE4">
        <w:rPr>
          <w:sz w:val="28"/>
          <w:szCs w:val="20"/>
        </w:rPr>
        <w:t>«</w:t>
      </w:r>
      <w:r w:rsidR="000D7DDE">
        <w:rPr>
          <w:b/>
          <w:sz w:val="28"/>
          <w:szCs w:val="20"/>
        </w:rPr>
        <w:t>Выбытие инвестиций, переоценка инвестиций</w:t>
      </w:r>
      <w:r w:rsidR="00993BE4">
        <w:rPr>
          <w:b/>
          <w:sz w:val="28"/>
          <w:szCs w:val="20"/>
        </w:rPr>
        <w:t>»</w:t>
      </w:r>
    </w:p>
    <w:p w:rsidR="003A28F7" w:rsidRPr="00490CAC" w:rsidRDefault="003A28F7"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right"/>
        <w:rPr>
          <w:sz w:val="28"/>
          <w:szCs w:val="20"/>
        </w:rPr>
      </w:pPr>
    </w:p>
    <w:p w:rsidR="003A28F7" w:rsidRPr="00490CAC" w:rsidRDefault="003A28F7" w:rsidP="003A28F7">
      <w:pPr>
        <w:jc w:val="right"/>
        <w:rPr>
          <w:sz w:val="28"/>
          <w:szCs w:val="20"/>
        </w:rPr>
      </w:pPr>
    </w:p>
    <w:p w:rsidR="003A28F7" w:rsidRPr="00490CAC" w:rsidRDefault="003A28F7" w:rsidP="003A28F7">
      <w:pPr>
        <w:jc w:val="right"/>
        <w:rPr>
          <w:sz w:val="28"/>
          <w:szCs w:val="20"/>
        </w:rPr>
      </w:pPr>
    </w:p>
    <w:p w:rsidR="003A28F7" w:rsidRPr="00490CAC" w:rsidRDefault="003A28F7" w:rsidP="003A28F7">
      <w:pPr>
        <w:jc w:val="right"/>
        <w:rPr>
          <w:sz w:val="28"/>
          <w:szCs w:val="20"/>
        </w:rPr>
      </w:pPr>
    </w:p>
    <w:p w:rsidR="003A28F7" w:rsidRPr="00490CAC" w:rsidRDefault="003A28F7" w:rsidP="003A28F7">
      <w:pPr>
        <w:jc w:val="right"/>
        <w:rPr>
          <w:sz w:val="28"/>
          <w:szCs w:val="20"/>
        </w:rPr>
      </w:pPr>
    </w:p>
    <w:p w:rsidR="003A28F7" w:rsidRPr="00490CAC" w:rsidRDefault="003A28F7" w:rsidP="003A28F7">
      <w:pPr>
        <w:jc w:val="right"/>
        <w:rPr>
          <w:sz w:val="28"/>
          <w:szCs w:val="20"/>
        </w:rPr>
      </w:pPr>
    </w:p>
    <w:p w:rsidR="003A28F7" w:rsidRPr="00490CAC" w:rsidRDefault="003A28F7" w:rsidP="003A28F7">
      <w:pPr>
        <w:jc w:val="right"/>
        <w:rPr>
          <w:sz w:val="28"/>
          <w:szCs w:val="20"/>
        </w:rPr>
      </w:pPr>
    </w:p>
    <w:p w:rsidR="003A28F7" w:rsidRPr="00490CAC" w:rsidRDefault="003A28F7" w:rsidP="0021134A">
      <w:pPr>
        <w:tabs>
          <w:tab w:val="left" w:pos="5103"/>
        </w:tabs>
        <w:ind w:left="5103" w:hanging="1701"/>
        <w:rPr>
          <w:b/>
          <w:sz w:val="28"/>
          <w:szCs w:val="20"/>
        </w:rPr>
      </w:pPr>
      <w:r w:rsidRPr="00490CAC">
        <w:rPr>
          <w:sz w:val="28"/>
          <w:szCs w:val="20"/>
        </w:rPr>
        <w:t xml:space="preserve">Выполнил: </w:t>
      </w:r>
      <w:r w:rsidRPr="00490CAC">
        <w:rPr>
          <w:sz w:val="28"/>
          <w:szCs w:val="20"/>
        </w:rPr>
        <w:tab/>
      </w:r>
    </w:p>
    <w:p w:rsidR="003A28F7" w:rsidRPr="00490CAC" w:rsidRDefault="003A28F7" w:rsidP="003A28F7">
      <w:pPr>
        <w:jc w:val="right"/>
        <w:rPr>
          <w:sz w:val="28"/>
          <w:szCs w:val="20"/>
        </w:rPr>
      </w:pPr>
    </w:p>
    <w:p w:rsidR="003A28F7" w:rsidRDefault="003A28F7" w:rsidP="0021134A">
      <w:pPr>
        <w:tabs>
          <w:tab w:val="left" w:pos="5103"/>
        </w:tabs>
        <w:ind w:left="5103" w:hanging="1701"/>
        <w:rPr>
          <w:sz w:val="28"/>
          <w:szCs w:val="20"/>
        </w:rPr>
      </w:pPr>
      <w:r w:rsidRPr="00490CAC">
        <w:rPr>
          <w:sz w:val="28"/>
          <w:szCs w:val="20"/>
        </w:rPr>
        <w:t xml:space="preserve">Проверил: </w:t>
      </w:r>
      <w:r w:rsidRPr="00490CAC">
        <w:rPr>
          <w:sz w:val="28"/>
          <w:szCs w:val="20"/>
        </w:rPr>
        <w:tab/>
      </w:r>
    </w:p>
    <w:p w:rsidR="0021134A" w:rsidRDefault="0021134A" w:rsidP="0021134A">
      <w:pPr>
        <w:tabs>
          <w:tab w:val="left" w:pos="5103"/>
        </w:tabs>
        <w:ind w:left="5103" w:hanging="1701"/>
        <w:rPr>
          <w:sz w:val="28"/>
          <w:szCs w:val="20"/>
        </w:rPr>
      </w:pPr>
    </w:p>
    <w:p w:rsidR="0021134A" w:rsidRPr="00490CAC" w:rsidRDefault="0021134A" w:rsidP="0021134A">
      <w:pPr>
        <w:tabs>
          <w:tab w:val="left" w:pos="5103"/>
        </w:tabs>
        <w:ind w:left="5103" w:hanging="1701"/>
        <w:rPr>
          <w:b/>
          <w:sz w:val="28"/>
          <w:szCs w:val="20"/>
        </w:rPr>
      </w:pPr>
    </w:p>
    <w:p w:rsidR="003A28F7" w:rsidRPr="00490CAC" w:rsidRDefault="003A28F7" w:rsidP="003A28F7">
      <w:pPr>
        <w:jc w:val="right"/>
        <w:rPr>
          <w:sz w:val="28"/>
          <w:szCs w:val="20"/>
        </w:rPr>
      </w:pPr>
    </w:p>
    <w:p w:rsidR="003A28F7" w:rsidRPr="00490CAC" w:rsidRDefault="003A28F7"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center"/>
        <w:rPr>
          <w:sz w:val="28"/>
          <w:szCs w:val="20"/>
        </w:rPr>
      </w:pPr>
    </w:p>
    <w:p w:rsidR="003A28F7" w:rsidRPr="00490CAC" w:rsidRDefault="003A28F7" w:rsidP="003A28F7">
      <w:pPr>
        <w:jc w:val="center"/>
        <w:rPr>
          <w:sz w:val="28"/>
          <w:szCs w:val="20"/>
        </w:rPr>
      </w:pPr>
      <w:r w:rsidRPr="00490CAC">
        <w:rPr>
          <w:sz w:val="28"/>
          <w:szCs w:val="20"/>
        </w:rPr>
        <w:t>Усть-Каменогорск</w:t>
      </w:r>
    </w:p>
    <w:p w:rsidR="003A28F7" w:rsidRPr="00490CAC" w:rsidRDefault="003A28F7" w:rsidP="003A28F7">
      <w:pPr>
        <w:jc w:val="center"/>
        <w:rPr>
          <w:sz w:val="28"/>
          <w:szCs w:val="28"/>
        </w:rPr>
      </w:pPr>
      <w:r w:rsidRPr="00490CAC">
        <w:rPr>
          <w:sz w:val="28"/>
          <w:szCs w:val="28"/>
        </w:rPr>
        <w:t>2009</w:t>
      </w:r>
    </w:p>
    <w:p w:rsidR="003A28F7" w:rsidRPr="00490CAC" w:rsidRDefault="003A28F7" w:rsidP="003A28F7">
      <w:pPr>
        <w:pStyle w:val="a3"/>
        <w:pageBreakBefore/>
        <w:rPr>
          <w:caps/>
          <w:szCs w:val="28"/>
        </w:rPr>
      </w:pPr>
      <w:r w:rsidRPr="00490CAC">
        <w:rPr>
          <w:caps/>
          <w:szCs w:val="28"/>
        </w:rPr>
        <w:t>содержание</w:t>
      </w:r>
    </w:p>
    <w:p w:rsidR="003A28F7" w:rsidRPr="00490CAC" w:rsidRDefault="003A28F7" w:rsidP="003A28F7">
      <w:pPr>
        <w:tabs>
          <w:tab w:val="left" w:pos="-4395"/>
          <w:tab w:val="right" w:pos="9072"/>
        </w:tabs>
        <w:spacing w:line="360" w:lineRule="auto"/>
        <w:jc w:val="both"/>
        <w:rPr>
          <w:sz w:val="28"/>
        </w:rPr>
      </w:pPr>
      <w:r w:rsidRPr="00490CAC">
        <w:rPr>
          <w:sz w:val="28"/>
        </w:rPr>
        <w:tab/>
        <w:t>стр.</w:t>
      </w:r>
    </w:p>
    <w:p w:rsidR="003A28F7" w:rsidRPr="00490CAC" w:rsidRDefault="003A28F7" w:rsidP="00856782">
      <w:pPr>
        <w:tabs>
          <w:tab w:val="right" w:leader="dot" w:pos="9072"/>
        </w:tabs>
        <w:spacing w:after="120"/>
        <w:jc w:val="both"/>
        <w:rPr>
          <w:sz w:val="28"/>
        </w:rPr>
      </w:pPr>
      <w:r w:rsidRPr="00490CAC">
        <w:rPr>
          <w:sz w:val="28"/>
        </w:rPr>
        <w:t>Введение</w:t>
      </w:r>
      <w:r w:rsidRPr="00490CAC">
        <w:rPr>
          <w:sz w:val="28"/>
        </w:rPr>
        <w:tab/>
        <w:t>3</w:t>
      </w:r>
    </w:p>
    <w:p w:rsidR="003A28F7" w:rsidRPr="00490CAC" w:rsidRDefault="00E906DC" w:rsidP="00130EC0">
      <w:pPr>
        <w:numPr>
          <w:ilvl w:val="0"/>
          <w:numId w:val="1"/>
        </w:numPr>
        <w:tabs>
          <w:tab w:val="right" w:leader="dot" w:pos="9072"/>
        </w:tabs>
        <w:spacing w:after="120"/>
        <w:rPr>
          <w:sz w:val="28"/>
        </w:rPr>
      </w:pPr>
      <w:r>
        <w:rPr>
          <w:sz w:val="28"/>
          <w:szCs w:val="28"/>
        </w:rPr>
        <w:t>Понятие инвестиций</w:t>
      </w:r>
      <w:r w:rsidR="003A28F7" w:rsidRPr="00490CAC">
        <w:rPr>
          <w:sz w:val="28"/>
        </w:rPr>
        <w:tab/>
        <w:t>4</w:t>
      </w:r>
    </w:p>
    <w:p w:rsidR="003A28F7" w:rsidRPr="00E906DC" w:rsidRDefault="00E906DC" w:rsidP="00856782">
      <w:pPr>
        <w:numPr>
          <w:ilvl w:val="0"/>
          <w:numId w:val="1"/>
        </w:numPr>
        <w:tabs>
          <w:tab w:val="right" w:leader="dot" w:pos="9072"/>
        </w:tabs>
        <w:spacing w:after="120"/>
        <w:ind w:left="357" w:hanging="357"/>
        <w:rPr>
          <w:sz w:val="28"/>
          <w:szCs w:val="28"/>
        </w:rPr>
      </w:pPr>
      <w:r>
        <w:rPr>
          <w:sz w:val="28"/>
        </w:rPr>
        <w:t>Оценка и переоценка</w:t>
      </w:r>
      <w:r w:rsidR="00BE514A">
        <w:rPr>
          <w:sz w:val="28"/>
        </w:rPr>
        <w:t xml:space="preserve"> инвестиций</w:t>
      </w:r>
      <w:r w:rsidR="00043BBC">
        <w:rPr>
          <w:sz w:val="28"/>
        </w:rPr>
        <w:tab/>
        <w:t>5</w:t>
      </w:r>
    </w:p>
    <w:p w:rsidR="00E906DC" w:rsidRPr="00E906DC" w:rsidRDefault="00043BBC" w:rsidP="00B7387A">
      <w:pPr>
        <w:numPr>
          <w:ilvl w:val="1"/>
          <w:numId w:val="1"/>
        </w:numPr>
        <w:tabs>
          <w:tab w:val="clear" w:pos="1080"/>
          <w:tab w:val="num" w:pos="1134"/>
          <w:tab w:val="right" w:leader="dot" w:pos="9072"/>
        </w:tabs>
        <w:spacing w:after="120"/>
        <w:ind w:left="993" w:hanging="633"/>
        <w:rPr>
          <w:sz w:val="28"/>
          <w:szCs w:val="28"/>
        </w:rPr>
      </w:pPr>
      <w:r>
        <w:rPr>
          <w:sz w:val="28"/>
        </w:rPr>
        <w:t>Краткосрочные инвестиции</w:t>
      </w:r>
      <w:r>
        <w:rPr>
          <w:sz w:val="28"/>
        </w:rPr>
        <w:tab/>
        <w:t>5</w:t>
      </w:r>
    </w:p>
    <w:p w:rsidR="00E906DC" w:rsidRPr="00490CAC" w:rsidRDefault="00E906DC" w:rsidP="00B7387A">
      <w:pPr>
        <w:numPr>
          <w:ilvl w:val="1"/>
          <w:numId w:val="1"/>
        </w:numPr>
        <w:tabs>
          <w:tab w:val="clear" w:pos="1080"/>
          <w:tab w:val="num" w:pos="1134"/>
          <w:tab w:val="right" w:leader="dot" w:pos="9072"/>
        </w:tabs>
        <w:spacing w:after="120"/>
        <w:ind w:left="993" w:hanging="633"/>
        <w:rPr>
          <w:sz w:val="28"/>
          <w:szCs w:val="28"/>
        </w:rPr>
      </w:pPr>
      <w:r>
        <w:rPr>
          <w:sz w:val="28"/>
        </w:rPr>
        <w:t>Долгосрочные инвестиции</w:t>
      </w:r>
      <w:r>
        <w:rPr>
          <w:sz w:val="28"/>
        </w:rPr>
        <w:tab/>
      </w:r>
      <w:r w:rsidR="00043BBC">
        <w:rPr>
          <w:sz w:val="28"/>
        </w:rPr>
        <w:t>6</w:t>
      </w:r>
    </w:p>
    <w:p w:rsidR="00856782" w:rsidRPr="00856782" w:rsidRDefault="00BE514A" w:rsidP="00856782">
      <w:pPr>
        <w:numPr>
          <w:ilvl w:val="0"/>
          <w:numId w:val="1"/>
        </w:numPr>
        <w:tabs>
          <w:tab w:val="right" w:leader="dot" w:pos="9072"/>
        </w:tabs>
        <w:spacing w:after="120"/>
        <w:ind w:left="357" w:hanging="357"/>
        <w:rPr>
          <w:sz w:val="28"/>
        </w:rPr>
      </w:pPr>
      <w:r>
        <w:rPr>
          <w:sz w:val="28"/>
          <w:szCs w:val="28"/>
        </w:rPr>
        <w:t>Выбытие инвестиций</w:t>
      </w:r>
      <w:r w:rsidR="00856782">
        <w:rPr>
          <w:sz w:val="28"/>
          <w:szCs w:val="28"/>
        </w:rPr>
        <w:tab/>
      </w:r>
      <w:r w:rsidR="00043BBC">
        <w:rPr>
          <w:sz w:val="28"/>
          <w:szCs w:val="28"/>
        </w:rPr>
        <w:t>9</w:t>
      </w:r>
    </w:p>
    <w:p w:rsidR="003A28F7" w:rsidRPr="00490CAC" w:rsidRDefault="00E906DC" w:rsidP="00856782">
      <w:pPr>
        <w:tabs>
          <w:tab w:val="right" w:leader="dot" w:pos="9072"/>
        </w:tabs>
        <w:spacing w:after="120"/>
        <w:jc w:val="both"/>
        <w:rPr>
          <w:sz w:val="28"/>
        </w:rPr>
      </w:pPr>
      <w:r>
        <w:rPr>
          <w:sz w:val="28"/>
        </w:rPr>
        <w:t>Заключение</w:t>
      </w:r>
      <w:r>
        <w:rPr>
          <w:sz w:val="28"/>
        </w:rPr>
        <w:tab/>
      </w:r>
      <w:r w:rsidR="00043BBC">
        <w:rPr>
          <w:sz w:val="28"/>
        </w:rPr>
        <w:t>12</w:t>
      </w:r>
    </w:p>
    <w:p w:rsidR="003A28F7" w:rsidRPr="00490CAC" w:rsidRDefault="00E906DC" w:rsidP="00856782">
      <w:pPr>
        <w:tabs>
          <w:tab w:val="right" w:leader="dot" w:pos="9072"/>
        </w:tabs>
        <w:spacing w:after="120"/>
        <w:jc w:val="both"/>
        <w:rPr>
          <w:sz w:val="28"/>
        </w:rPr>
      </w:pPr>
      <w:r>
        <w:rPr>
          <w:sz w:val="28"/>
        </w:rPr>
        <w:t>Список литературы</w:t>
      </w:r>
      <w:r>
        <w:rPr>
          <w:sz w:val="28"/>
        </w:rPr>
        <w:tab/>
      </w:r>
      <w:r w:rsidR="00043BBC">
        <w:rPr>
          <w:sz w:val="28"/>
        </w:rPr>
        <w:t>13</w:t>
      </w:r>
    </w:p>
    <w:p w:rsidR="003A28F7" w:rsidRPr="00490CAC" w:rsidRDefault="003A28F7" w:rsidP="003A28F7">
      <w:pPr>
        <w:tabs>
          <w:tab w:val="left" w:pos="5444"/>
        </w:tabs>
        <w:ind w:firstLine="426"/>
      </w:pPr>
      <w:r w:rsidRPr="00490CAC">
        <w:tab/>
      </w:r>
    </w:p>
    <w:p w:rsidR="003A28F7" w:rsidRPr="00B77F54" w:rsidRDefault="00490CAC" w:rsidP="00D87EDA">
      <w:pPr>
        <w:pageBreakBefore/>
        <w:widowControl w:val="0"/>
        <w:autoSpaceDE w:val="0"/>
        <w:autoSpaceDN w:val="0"/>
        <w:spacing w:after="120"/>
        <w:jc w:val="center"/>
        <w:rPr>
          <w:b/>
          <w:caps/>
          <w:sz w:val="28"/>
          <w:szCs w:val="28"/>
        </w:rPr>
      </w:pPr>
      <w:r w:rsidRPr="00B77F54">
        <w:rPr>
          <w:b/>
          <w:caps/>
          <w:sz w:val="28"/>
          <w:szCs w:val="28"/>
        </w:rPr>
        <w:t>Введение</w:t>
      </w:r>
    </w:p>
    <w:p w:rsidR="00490CAC" w:rsidRDefault="00BE514A" w:rsidP="00490CAC">
      <w:pPr>
        <w:widowControl w:val="0"/>
        <w:autoSpaceDE w:val="0"/>
        <w:autoSpaceDN w:val="0"/>
        <w:ind w:firstLine="720"/>
        <w:jc w:val="both"/>
        <w:rPr>
          <w:sz w:val="28"/>
          <w:szCs w:val="28"/>
        </w:rPr>
      </w:pPr>
      <w:r>
        <w:rPr>
          <w:sz w:val="28"/>
          <w:szCs w:val="28"/>
        </w:rPr>
        <w:t>Иногда в течение года компания может иметь больше денежных средств в кассе, чем ей необходимо</w:t>
      </w:r>
      <w:r w:rsidR="00013C97">
        <w:rPr>
          <w:sz w:val="28"/>
          <w:szCs w:val="28"/>
        </w:rPr>
        <w:t xml:space="preserve"> для оплаты текущих обязательств. Поскольку представляется выгодным эти денежные средства пустить в оборот, особенно в период действия высоких процентных ставок, компания может вложить излишек денег в срочные депозиты, или депозитные сертификаты, государственные и другие ценные бумаги. Такие вклады называются краткосрочными инвестициями, или обращающимися на рынке ценными бумагами, представляющими собой оборотные средства, которые при необходимости можно использовать для погашения текущих обязательств.</w:t>
      </w:r>
    </w:p>
    <w:p w:rsidR="00013C97" w:rsidRDefault="00013C97" w:rsidP="00490CAC">
      <w:pPr>
        <w:widowControl w:val="0"/>
        <w:autoSpaceDE w:val="0"/>
        <w:autoSpaceDN w:val="0"/>
        <w:ind w:firstLine="720"/>
        <w:jc w:val="both"/>
        <w:rPr>
          <w:sz w:val="28"/>
          <w:szCs w:val="28"/>
        </w:rPr>
      </w:pPr>
      <w:r>
        <w:rPr>
          <w:sz w:val="28"/>
          <w:szCs w:val="28"/>
        </w:rPr>
        <w:t>Инвестиции представляют собой вложение капитала с целью получения экономической выгоды в течение некоторого периода времени.</w:t>
      </w:r>
    </w:p>
    <w:p w:rsidR="00013C97" w:rsidRDefault="00013C97" w:rsidP="00490CAC">
      <w:pPr>
        <w:widowControl w:val="0"/>
        <w:autoSpaceDE w:val="0"/>
        <w:autoSpaceDN w:val="0"/>
        <w:ind w:firstLine="720"/>
        <w:jc w:val="both"/>
        <w:rPr>
          <w:sz w:val="28"/>
          <w:szCs w:val="28"/>
        </w:rPr>
      </w:pPr>
      <w:r>
        <w:rPr>
          <w:sz w:val="28"/>
          <w:szCs w:val="28"/>
        </w:rPr>
        <w:t>Предприятия осуществляют инвестиции по разным причинам. Для некоторых предприятий инвестиционная деятельность является значительной составной частью их деятельности и оценка результатов деятельности предприятия может в большей степени или полностью зависеть от результатов инвестиционной деятельности. Некоторые предприятия имеют ценные бумаги в качестве запаса сверхнормативных средств, а другие – держат торговые инвестиции для того, чтобы укрепить коммерческие взаимоотношения или создать коммерческое преимущество.</w:t>
      </w:r>
    </w:p>
    <w:p w:rsidR="00013C97" w:rsidRDefault="00013C97" w:rsidP="00490CAC">
      <w:pPr>
        <w:widowControl w:val="0"/>
        <w:autoSpaceDE w:val="0"/>
        <w:autoSpaceDN w:val="0"/>
        <w:ind w:firstLine="720"/>
        <w:jc w:val="both"/>
        <w:rPr>
          <w:sz w:val="28"/>
          <w:szCs w:val="28"/>
        </w:rPr>
      </w:pPr>
      <w:r>
        <w:rPr>
          <w:sz w:val="28"/>
          <w:szCs w:val="28"/>
        </w:rPr>
        <w:t>Совокупность ценных бумаг, находящихся во владении предприятия, н</w:t>
      </w:r>
      <w:r w:rsidR="00D87EDA">
        <w:rPr>
          <w:sz w:val="28"/>
          <w:szCs w:val="28"/>
        </w:rPr>
        <w:t>азывается инвестиционным портфелем.</w:t>
      </w:r>
    </w:p>
    <w:p w:rsidR="00D87EDA" w:rsidRDefault="00D87EDA" w:rsidP="00490CAC">
      <w:pPr>
        <w:widowControl w:val="0"/>
        <w:autoSpaceDE w:val="0"/>
        <w:autoSpaceDN w:val="0"/>
        <w:ind w:firstLine="720"/>
        <w:jc w:val="both"/>
        <w:rPr>
          <w:sz w:val="28"/>
          <w:szCs w:val="28"/>
        </w:rPr>
      </w:pPr>
    </w:p>
    <w:p w:rsidR="00D87EDA" w:rsidRPr="00E906DC" w:rsidRDefault="00E906DC" w:rsidP="00F27C66">
      <w:pPr>
        <w:pageBreakBefore/>
        <w:widowControl w:val="0"/>
        <w:numPr>
          <w:ilvl w:val="0"/>
          <w:numId w:val="5"/>
        </w:numPr>
        <w:tabs>
          <w:tab w:val="left" w:pos="426"/>
        </w:tabs>
        <w:autoSpaceDE w:val="0"/>
        <w:autoSpaceDN w:val="0"/>
        <w:spacing w:after="120"/>
        <w:ind w:left="425" w:hanging="425"/>
        <w:jc w:val="center"/>
        <w:rPr>
          <w:b/>
          <w:caps/>
          <w:sz w:val="28"/>
          <w:szCs w:val="28"/>
        </w:rPr>
      </w:pPr>
      <w:r w:rsidRPr="00E906DC">
        <w:rPr>
          <w:b/>
          <w:caps/>
          <w:sz w:val="28"/>
          <w:szCs w:val="28"/>
        </w:rPr>
        <w:t>Понятие инвестиций</w:t>
      </w:r>
    </w:p>
    <w:p w:rsidR="00D87EDA" w:rsidRDefault="00D87EDA" w:rsidP="00490CAC">
      <w:pPr>
        <w:widowControl w:val="0"/>
        <w:autoSpaceDE w:val="0"/>
        <w:autoSpaceDN w:val="0"/>
        <w:ind w:firstLine="720"/>
        <w:jc w:val="both"/>
        <w:rPr>
          <w:sz w:val="28"/>
          <w:szCs w:val="28"/>
        </w:rPr>
      </w:pPr>
      <w:r>
        <w:rPr>
          <w:sz w:val="28"/>
          <w:szCs w:val="28"/>
        </w:rPr>
        <w:t>Под инвестициями понимают совокупность затрат, реализуемых в форме вложений капитала в предприятия промышленности, строительства, сельского хозяйства и других отраслей экономики. Целью инвестиционной деятельности является, в конечном итоге, получение предпринимательского дохода или процента.</w:t>
      </w:r>
    </w:p>
    <w:p w:rsidR="005219EB" w:rsidRDefault="005219EB" w:rsidP="00490CAC">
      <w:pPr>
        <w:widowControl w:val="0"/>
        <w:autoSpaceDE w:val="0"/>
        <w:autoSpaceDN w:val="0"/>
        <w:ind w:firstLine="720"/>
        <w:jc w:val="both"/>
        <w:rPr>
          <w:sz w:val="28"/>
          <w:szCs w:val="28"/>
        </w:rPr>
      </w:pPr>
      <w:r>
        <w:rPr>
          <w:sz w:val="28"/>
          <w:szCs w:val="28"/>
        </w:rPr>
        <w:t>Источником инвестиций является вновь созданная стоимость или, так называемая, сберегаемая часть собственного дохода. Предприниматели (предприятия) мобилизуют его за счет собственного дохода (т.е. самофинансирования) и на рынке ссудных капиталов (привлеченные средства). Источником инвестиций на обновление основного капитала является прибыль, оставшаяся в распоряжении предприятий.</w:t>
      </w:r>
    </w:p>
    <w:p w:rsidR="00E52ECB" w:rsidRDefault="00E52ECB" w:rsidP="00E52ECB">
      <w:pPr>
        <w:ind w:firstLine="709"/>
        <w:jc w:val="both"/>
        <w:rPr>
          <w:sz w:val="28"/>
          <w:szCs w:val="28"/>
        </w:rPr>
      </w:pPr>
      <w:r w:rsidRPr="00B7387A">
        <w:rPr>
          <w:sz w:val="28"/>
          <w:szCs w:val="28"/>
        </w:rPr>
        <w:t>Порядок представления</w:t>
      </w:r>
      <w:r>
        <w:rPr>
          <w:sz w:val="28"/>
          <w:szCs w:val="28"/>
        </w:rPr>
        <w:t xml:space="preserve"> информации по финансовым инструментам приводится в МСФО 32, а порядок признания и оценки – в МСФО 39. В МСФО 7 устанавливается порядок раскрытия информации по финансовым инструментам.</w:t>
      </w:r>
    </w:p>
    <w:p w:rsidR="00E52ECB" w:rsidRPr="00B7387A" w:rsidRDefault="00E52ECB" w:rsidP="00E52ECB">
      <w:pPr>
        <w:ind w:firstLine="709"/>
        <w:jc w:val="both"/>
        <w:rPr>
          <w:sz w:val="28"/>
          <w:szCs w:val="28"/>
        </w:rPr>
      </w:pPr>
      <w:r>
        <w:rPr>
          <w:sz w:val="28"/>
          <w:szCs w:val="28"/>
        </w:rPr>
        <w:t>На Международный стандарт МСФО 32 влияют изменения, вносимые в Международный стандарт МСФО 39. Эти стандарты Советом КМСФО продолжают пересматриваться.</w:t>
      </w:r>
    </w:p>
    <w:p w:rsidR="00E77299" w:rsidRDefault="00E77299" w:rsidP="00490CAC">
      <w:pPr>
        <w:widowControl w:val="0"/>
        <w:autoSpaceDE w:val="0"/>
        <w:autoSpaceDN w:val="0"/>
        <w:ind w:firstLine="720"/>
        <w:jc w:val="both"/>
        <w:rPr>
          <w:sz w:val="28"/>
          <w:szCs w:val="28"/>
        </w:rPr>
      </w:pPr>
      <w:r>
        <w:rPr>
          <w:sz w:val="28"/>
          <w:szCs w:val="28"/>
        </w:rPr>
        <w:t xml:space="preserve">Хозяйствующие субъекты в своем балансе подразделяют инвестиции на текущие (краткосрочные) и долгосрочные. </w:t>
      </w:r>
    </w:p>
    <w:p w:rsidR="00D87EDA" w:rsidRDefault="00E77299" w:rsidP="00490CAC">
      <w:pPr>
        <w:widowControl w:val="0"/>
        <w:autoSpaceDE w:val="0"/>
        <w:autoSpaceDN w:val="0"/>
        <w:ind w:firstLine="720"/>
        <w:jc w:val="both"/>
        <w:rPr>
          <w:sz w:val="28"/>
          <w:szCs w:val="28"/>
        </w:rPr>
      </w:pPr>
      <w:r w:rsidRPr="00E77299">
        <w:rPr>
          <w:b/>
          <w:sz w:val="28"/>
          <w:szCs w:val="28"/>
        </w:rPr>
        <w:t>Краткосрочные инвестиции</w:t>
      </w:r>
      <w:r w:rsidRPr="00E77299">
        <w:rPr>
          <w:sz w:val="28"/>
          <w:szCs w:val="28"/>
        </w:rPr>
        <w:t xml:space="preserve"> – это инвестиции, которые по своей природе легко могут быть реализованы и в отношении которых предполагается, что их будут сохранять на срок не более одного года.</w:t>
      </w:r>
    </w:p>
    <w:p w:rsidR="00A600E4" w:rsidRDefault="00E77299" w:rsidP="00B7387A">
      <w:pPr>
        <w:ind w:firstLine="709"/>
        <w:jc w:val="both"/>
        <w:rPr>
          <w:sz w:val="28"/>
          <w:szCs w:val="28"/>
        </w:rPr>
      </w:pPr>
      <w:r>
        <w:rPr>
          <w:b/>
          <w:sz w:val="28"/>
          <w:szCs w:val="28"/>
        </w:rPr>
        <w:t>Долгосрочные</w:t>
      </w:r>
      <w:r w:rsidRPr="00E77299">
        <w:rPr>
          <w:b/>
          <w:sz w:val="28"/>
          <w:szCs w:val="28"/>
        </w:rPr>
        <w:t xml:space="preserve"> инвестиции</w:t>
      </w:r>
      <w:r>
        <w:rPr>
          <w:sz w:val="28"/>
          <w:szCs w:val="28"/>
        </w:rPr>
        <w:t xml:space="preserve"> – это инвестиции в ценные бумаги, предназначенные для владения на срок более одного года, представленные в инвестиционном портфеле чаще всего долевыми (акции) и долговыми (долгосрочные облигации) ценными бумагами.</w:t>
      </w:r>
    </w:p>
    <w:p w:rsidR="003210A4" w:rsidRDefault="003210A4" w:rsidP="00B7387A">
      <w:pPr>
        <w:ind w:firstLine="709"/>
        <w:jc w:val="both"/>
        <w:rPr>
          <w:sz w:val="28"/>
          <w:szCs w:val="28"/>
        </w:rPr>
      </w:pPr>
      <w:r>
        <w:rPr>
          <w:sz w:val="28"/>
          <w:szCs w:val="28"/>
        </w:rPr>
        <w:t>По своей роли ценные бумаги делятся на основные (акции, облигации), вспомогательные (чеки, векселя, сертификаты и др.) и производные, удостоверяющие право на покупку и продажу основных ценных бумаг</w:t>
      </w:r>
      <w:r w:rsidR="00A16FCC">
        <w:rPr>
          <w:sz w:val="28"/>
          <w:szCs w:val="28"/>
        </w:rPr>
        <w:t xml:space="preserve"> (варранты, опционы, финансовые фьючерсы, преимущественные права приобретения).</w:t>
      </w:r>
    </w:p>
    <w:p w:rsidR="003F5BB2" w:rsidRDefault="003F5BB2" w:rsidP="00B7387A">
      <w:pPr>
        <w:ind w:firstLine="709"/>
        <w:jc w:val="both"/>
        <w:rPr>
          <w:sz w:val="28"/>
          <w:szCs w:val="28"/>
        </w:rPr>
      </w:pPr>
      <w:r>
        <w:rPr>
          <w:sz w:val="28"/>
          <w:szCs w:val="28"/>
        </w:rPr>
        <w:t xml:space="preserve">Акция – ценная бумага, свидетельствующая о внесении определенной суммы в капитал акционерного общества, дающая право ее </w:t>
      </w:r>
      <w:r w:rsidR="00043BBC">
        <w:rPr>
          <w:sz w:val="28"/>
          <w:szCs w:val="28"/>
        </w:rPr>
        <w:t>владельцу на получение части дохода в виде дивидендов.</w:t>
      </w:r>
    </w:p>
    <w:p w:rsidR="00043BBC" w:rsidRDefault="00043BBC" w:rsidP="00B7387A">
      <w:pPr>
        <w:ind w:firstLine="709"/>
        <w:jc w:val="both"/>
        <w:rPr>
          <w:sz w:val="28"/>
          <w:szCs w:val="28"/>
        </w:rPr>
      </w:pPr>
      <w:r>
        <w:rPr>
          <w:sz w:val="28"/>
          <w:szCs w:val="28"/>
        </w:rPr>
        <w:t>Облигация – ценная бумага, поддерживающая обязательство возместить ее держателю номинальную стоимость с уплатой фиксированного процента.</w:t>
      </w:r>
    </w:p>
    <w:p w:rsidR="00043BBC" w:rsidRDefault="00043BBC" w:rsidP="00B7387A">
      <w:pPr>
        <w:ind w:firstLine="709"/>
        <w:jc w:val="both"/>
        <w:rPr>
          <w:b/>
        </w:rPr>
      </w:pPr>
      <w:r>
        <w:rPr>
          <w:sz w:val="28"/>
          <w:szCs w:val="28"/>
        </w:rPr>
        <w:t>Производные ценные бумаги – это вид ценных бумаг, целью обращения которых является извлечение прибыли из колебаний цен базисного актива в будущем (опционы, варранты, финансовые фьючерсы, депозитарные расписки).</w:t>
      </w:r>
    </w:p>
    <w:p w:rsidR="00E906DC" w:rsidRPr="00E906DC" w:rsidRDefault="00E906DC" w:rsidP="00043BBC">
      <w:pPr>
        <w:keepNext/>
        <w:widowControl w:val="0"/>
        <w:numPr>
          <w:ilvl w:val="0"/>
          <w:numId w:val="5"/>
        </w:numPr>
        <w:tabs>
          <w:tab w:val="left" w:pos="426"/>
        </w:tabs>
        <w:autoSpaceDE w:val="0"/>
        <w:autoSpaceDN w:val="0"/>
        <w:spacing w:before="120" w:after="120"/>
        <w:ind w:left="425" w:hanging="425"/>
        <w:jc w:val="center"/>
        <w:rPr>
          <w:b/>
          <w:caps/>
          <w:sz w:val="28"/>
          <w:szCs w:val="28"/>
        </w:rPr>
      </w:pPr>
      <w:r w:rsidRPr="00E906DC">
        <w:rPr>
          <w:b/>
          <w:caps/>
          <w:sz w:val="28"/>
          <w:szCs w:val="28"/>
        </w:rPr>
        <w:t>Оценк</w:t>
      </w:r>
      <w:r w:rsidR="00B7387A">
        <w:rPr>
          <w:b/>
          <w:caps/>
          <w:sz w:val="28"/>
          <w:szCs w:val="28"/>
        </w:rPr>
        <w:t>а</w:t>
      </w:r>
      <w:r w:rsidRPr="00E906DC">
        <w:rPr>
          <w:b/>
          <w:caps/>
          <w:sz w:val="28"/>
          <w:szCs w:val="28"/>
        </w:rPr>
        <w:t xml:space="preserve"> и переоценка инвестиций</w:t>
      </w:r>
    </w:p>
    <w:p w:rsidR="00E906DC" w:rsidRPr="00E906DC" w:rsidRDefault="00E906DC" w:rsidP="00E906DC">
      <w:pPr>
        <w:widowControl w:val="0"/>
        <w:numPr>
          <w:ilvl w:val="0"/>
          <w:numId w:val="10"/>
        </w:numPr>
        <w:tabs>
          <w:tab w:val="left" w:pos="1418"/>
        </w:tabs>
        <w:autoSpaceDE w:val="0"/>
        <w:autoSpaceDN w:val="0"/>
        <w:spacing w:after="120"/>
        <w:ind w:left="1418" w:hanging="709"/>
        <w:rPr>
          <w:b/>
          <w:sz w:val="28"/>
          <w:szCs w:val="28"/>
        </w:rPr>
      </w:pPr>
      <w:r w:rsidRPr="00E906DC">
        <w:rPr>
          <w:b/>
          <w:sz w:val="28"/>
          <w:szCs w:val="28"/>
        </w:rPr>
        <w:t>Краткосрочные инвестиции.</w:t>
      </w:r>
    </w:p>
    <w:p w:rsidR="00E77299" w:rsidRDefault="000968D5" w:rsidP="00490CAC">
      <w:pPr>
        <w:widowControl w:val="0"/>
        <w:autoSpaceDE w:val="0"/>
        <w:autoSpaceDN w:val="0"/>
        <w:ind w:firstLine="720"/>
        <w:jc w:val="both"/>
        <w:rPr>
          <w:sz w:val="28"/>
          <w:szCs w:val="28"/>
        </w:rPr>
      </w:pPr>
      <w:r w:rsidRPr="000968D5">
        <w:rPr>
          <w:b/>
          <w:sz w:val="28"/>
          <w:szCs w:val="28"/>
        </w:rPr>
        <w:t>Краткосрочные инвестиции</w:t>
      </w:r>
      <w:r>
        <w:rPr>
          <w:sz w:val="28"/>
          <w:szCs w:val="28"/>
        </w:rPr>
        <w:t xml:space="preserve"> первоначально признаются в учете по стоимости приобретения, включающей затраты на приобретение, такие как брокерское вознаграждение, пошлины и вознаграждение за банковские услуги.</w:t>
      </w:r>
    </w:p>
    <w:p w:rsidR="000968D5" w:rsidRPr="00E77299" w:rsidRDefault="000968D5" w:rsidP="00490CAC">
      <w:pPr>
        <w:widowControl w:val="0"/>
        <w:autoSpaceDE w:val="0"/>
        <w:autoSpaceDN w:val="0"/>
        <w:ind w:firstLine="720"/>
        <w:jc w:val="both"/>
        <w:rPr>
          <w:sz w:val="28"/>
          <w:szCs w:val="28"/>
        </w:rPr>
      </w:pPr>
      <w:r>
        <w:rPr>
          <w:sz w:val="28"/>
          <w:szCs w:val="28"/>
        </w:rPr>
        <w:t>В дальнейшем краткосрочные инвестиции могут учитываться по:</w:t>
      </w:r>
    </w:p>
    <w:p w:rsidR="00D87EDA" w:rsidRDefault="000968D5" w:rsidP="000968D5">
      <w:pPr>
        <w:widowControl w:val="0"/>
        <w:numPr>
          <w:ilvl w:val="0"/>
          <w:numId w:val="6"/>
        </w:numPr>
        <w:autoSpaceDE w:val="0"/>
        <w:autoSpaceDN w:val="0"/>
        <w:jc w:val="both"/>
        <w:rPr>
          <w:sz w:val="28"/>
          <w:szCs w:val="28"/>
        </w:rPr>
      </w:pPr>
      <w:r>
        <w:rPr>
          <w:sz w:val="28"/>
          <w:szCs w:val="28"/>
        </w:rPr>
        <w:t>текущей (рыночной) стоимости</w:t>
      </w:r>
      <w:r w:rsidR="00B21E6A">
        <w:rPr>
          <w:sz w:val="28"/>
          <w:szCs w:val="28"/>
        </w:rPr>
        <w:t>;</w:t>
      </w:r>
    </w:p>
    <w:p w:rsidR="00B21E6A" w:rsidRDefault="00B21E6A" w:rsidP="000968D5">
      <w:pPr>
        <w:widowControl w:val="0"/>
        <w:numPr>
          <w:ilvl w:val="0"/>
          <w:numId w:val="6"/>
        </w:numPr>
        <w:autoSpaceDE w:val="0"/>
        <w:autoSpaceDN w:val="0"/>
        <w:jc w:val="both"/>
        <w:rPr>
          <w:sz w:val="28"/>
          <w:szCs w:val="28"/>
        </w:rPr>
      </w:pPr>
      <w:r>
        <w:rPr>
          <w:sz w:val="28"/>
          <w:szCs w:val="28"/>
        </w:rPr>
        <w:t>по наименьшей оценке из покупной и текущей стоимости.</w:t>
      </w:r>
    </w:p>
    <w:p w:rsidR="004E77F4" w:rsidRPr="00E52ECB" w:rsidRDefault="004E77F4" w:rsidP="00E52ECB">
      <w:pPr>
        <w:pStyle w:val="aa"/>
        <w:widowControl w:val="0"/>
        <w:numPr>
          <w:ilvl w:val="0"/>
          <w:numId w:val="21"/>
        </w:numPr>
        <w:tabs>
          <w:tab w:val="left" w:pos="1134"/>
        </w:tabs>
        <w:autoSpaceDE w:val="0"/>
        <w:autoSpaceDN w:val="0"/>
        <w:ind w:left="0" w:firstLine="709"/>
        <w:jc w:val="both"/>
        <w:rPr>
          <w:sz w:val="28"/>
          <w:szCs w:val="28"/>
        </w:rPr>
      </w:pPr>
      <w:r w:rsidRPr="00E52ECB">
        <w:rPr>
          <w:b/>
          <w:sz w:val="28"/>
          <w:szCs w:val="28"/>
        </w:rPr>
        <w:t>Текущая стоимость</w:t>
      </w:r>
      <w:r w:rsidRPr="00E52ECB">
        <w:rPr>
          <w:sz w:val="28"/>
          <w:szCs w:val="28"/>
        </w:rPr>
        <w:t xml:space="preserve"> – сумма, на которую обменивается актив между осведомленными и готовыми к сделке независимыми сторонами. Рыночная стоимость – это стоимость, по которой акции продаются и покупаются на активном рынке ценных бумаг.</w:t>
      </w:r>
    </w:p>
    <w:p w:rsidR="00B21E6A" w:rsidRDefault="00B21E6A" w:rsidP="00B21E6A">
      <w:pPr>
        <w:widowControl w:val="0"/>
        <w:autoSpaceDE w:val="0"/>
        <w:autoSpaceDN w:val="0"/>
        <w:ind w:firstLine="709"/>
        <w:jc w:val="both"/>
        <w:rPr>
          <w:sz w:val="28"/>
          <w:szCs w:val="28"/>
        </w:rPr>
      </w:pPr>
      <w:r>
        <w:rPr>
          <w:sz w:val="28"/>
          <w:szCs w:val="28"/>
        </w:rPr>
        <w:t>Если краткосрочные инвестиции учитываются по текущей (рыночной) стоимости, то возникает необходимость периодически учитывать изменения этой стоимости, следя, к примеру, за данными котировки имеющихся инвестиций на фондовой бирже.</w:t>
      </w:r>
      <w:r w:rsidR="004E77F4">
        <w:rPr>
          <w:sz w:val="28"/>
          <w:szCs w:val="28"/>
        </w:rPr>
        <w:t xml:space="preserve"> При этом в учетной политике определяется метод учета инвестиций и частота переоценок.</w:t>
      </w:r>
    </w:p>
    <w:p w:rsidR="00B21E6A" w:rsidRDefault="00B21E6A" w:rsidP="00B21E6A">
      <w:pPr>
        <w:widowControl w:val="0"/>
        <w:autoSpaceDE w:val="0"/>
        <w:autoSpaceDN w:val="0"/>
        <w:ind w:firstLine="709"/>
        <w:jc w:val="both"/>
        <w:rPr>
          <w:sz w:val="28"/>
          <w:szCs w:val="28"/>
        </w:rPr>
      </w:pPr>
      <w:r>
        <w:rPr>
          <w:sz w:val="28"/>
          <w:szCs w:val="28"/>
        </w:rPr>
        <w:t>Изменение стоимости</w:t>
      </w:r>
      <w:r w:rsidRPr="00B21E6A">
        <w:rPr>
          <w:sz w:val="28"/>
          <w:szCs w:val="28"/>
        </w:rPr>
        <w:t xml:space="preserve"> </w:t>
      </w:r>
      <w:r>
        <w:rPr>
          <w:sz w:val="28"/>
          <w:szCs w:val="28"/>
        </w:rPr>
        <w:t>краткосрочных финансовых инвестиций в сторону увеличения признается как доход</w:t>
      </w:r>
      <w:r w:rsidR="004E77F4">
        <w:rPr>
          <w:sz w:val="28"/>
          <w:szCs w:val="28"/>
        </w:rPr>
        <w:t xml:space="preserve"> от переоценки</w:t>
      </w:r>
      <w:r>
        <w:rPr>
          <w:sz w:val="28"/>
          <w:szCs w:val="28"/>
        </w:rPr>
        <w:t>, а в сторону уменьшения – как расход в том отчетном периоде, в котором возникли эти изменения.</w:t>
      </w:r>
    </w:p>
    <w:p w:rsidR="00B21E6A" w:rsidRDefault="00B21E6A" w:rsidP="00E52ECB">
      <w:pPr>
        <w:pStyle w:val="aa"/>
        <w:widowControl w:val="0"/>
        <w:numPr>
          <w:ilvl w:val="0"/>
          <w:numId w:val="21"/>
        </w:numPr>
        <w:tabs>
          <w:tab w:val="left" w:pos="1134"/>
        </w:tabs>
        <w:autoSpaceDE w:val="0"/>
        <w:autoSpaceDN w:val="0"/>
        <w:ind w:left="0" w:firstLine="709"/>
        <w:jc w:val="both"/>
        <w:rPr>
          <w:sz w:val="28"/>
          <w:szCs w:val="28"/>
        </w:rPr>
      </w:pPr>
      <w:r>
        <w:rPr>
          <w:sz w:val="28"/>
          <w:szCs w:val="28"/>
        </w:rPr>
        <w:t xml:space="preserve">Если краткосрочные инвестиции учитываются </w:t>
      </w:r>
      <w:r w:rsidRPr="0039278C">
        <w:rPr>
          <w:b/>
          <w:sz w:val="28"/>
          <w:szCs w:val="28"/>
        </w:rPr>
        <w:t>по наименьшей оценке из покупной и текущей стоимости</w:t>
      </w:r>
      <w:r>
        <w:rPr>
          <w:sz w:val="28"/>
          <w:szCs w:val="28"/>
        </w:rPr>
        <w:t>, балансовая стоимость может определяться на основе:</w:t>
      </w:r>
    </w:p>
    <w:p w:rsidR="00B21E6A" w:rsidRDefault="00604F8E" w:rsidP="00604F8E">
      <w:pPr>
        <w:widowControl w:val="0"/>
        <w:numPr>
          <w:ilvl w:val="0"/>
          <w:numId w:val="7"/>
        </w:numPr>
        <w:autoSpaceDE w:val="0"/>
        <w:autoSpaceDN w:val="0"/>
        <w:jc w:val="both"/>
        <w:rPr>
          <w:sz w:val="28"/>
          <w:szCs w:val="28"/>
        </w:rPr>
      </w:pPr>
      <w:r>
        <w:rPr>
          <w:sz w:val="28"/>
          <w:szCs w:val="28"/>
        </w:rPr>
        <w:t>совокупного портфеля в целом – по наименьшей оценке из покупной и текущей стоимости;</w:t>
      </w:r>
    </w:p>
    <w:p w:rsidR="00604F8E" w:rsidRDefault="00604F8E" w:rsidP="00604F8E">
      <w:pPr>
        <w:widowControl w:val="0"/>
        <w:numPr>
          <w:ilvl w:val="0"/>
          <w:numId w:val="7"/>
        </w:numPr>
        <w:autoSpaceDE w:val="0"/>
        <w:autoSpaceDN w:val="0"/>
        <w:jc w:val="both"/>
        <w:rPr>
          <w:sz w:val="28"/>
          <w:szCs w:val="28"/>
        </w:rPr>
      </w:pPr>
      <w:r>
        <w:rPr>
          <w:sz w:val="28"/>
          <w:szCs w:val="28"/>
        </w:rPr>
        <w:t>совокупного портфеля по видам инвестиций – например, отдельно по портфелю акций и отдельно по портфелю облигаций;</w:t>
      </w:r>
    </w:p>
    <w:p w:rsidR="00604F8E" w:rsidRDefault="00604F8E" w:rsidP="00604F8E">
      <w:pPr>
        <w:widowControl w:val="0"/>
        <w:numPr>
          <w:ilvl w:val="0"/>
          <w:numId w:val="7"/>
        </w:numPr>
        <w:autoSpaceDE w:val="0"/>
        <w:autoSpaceDN w:val="0"/>
        <w:jc w:val="both"/>
        <w:rPr>
          <w:sz w:val="28"/>
          <w:szCs w:val="28"/>
        </w:rPr>
      </w:pPr>
      <w:r>
        <w:rPr>
          <w:sz w:val="28"/>
          <w:szCs w:val="28"/>
        </w:rPr>
        <w:t>отдельно взятой инвестиции.</w:t>
      </w:r>
    </w:p>
    <w:p w:rsidR="00604F8E" w:rsidRDefault="00604F8E" w:rsidP="00604F8E">
      <w:pPr>
        <w:widowControl w:val="0"/>
        <w:autoSpaceDE w:val="0"/>
        <w:autoSpaceDN w:val="0"/>
        <w:ind w:firstLine="709"/>
        <w:jc w:val="both"/>
        <w:rPr>
          <w:sz w:val="28"/>
          <w:szCs w:val="28"/>
        </w:rPr>
      </w:pPr>
      <w:r>
        <w:rPr>
          <w:sz w:val="28"/>
          <w:szCs w:val="28"/>
        </w:rPr>
        <w:t>При этом</w:t>
      </w:r>
      <w:r w:rsidR="000224C6">
        <w:rPr>
          <w:sz w:val="28"/>
          <w:szCs w:val="28"/>
        </w:rPr>
        <w:t>,</w:t>
      </w:r>
      <w:r>
        <w:rPr>
          <w:sz w:val="28"/>
          <w:szCs w:val="28"/>
        </w:rPr>
        <w:t xml:space="preserve"> в случае если покупная стоимость будет выше текущей (рыночной), разница между стоимостями признается расходом, если же покупная стоимость будет ниже текущей (рыночной), разница – признается доходом.</w:t>
      </w:r>
    </w:p>
    <w:p w:rsidR="0039278C" w:rsidRDefault="0039278C" w:rsidP="00604F8E">
      <w:pPr>
        <w:widowControl w:val="0"/>
        <w:autoSpaceDE w:val="0"/>
        <w:autoSpaceDN w:val="0"/>
        <w:ind w:firstLine="709"/>
        <w:jc w:val="both"/>
        <w:rPr>
          <w:sz w:val="28"/>
          <w:szCs w:val="28"/>
        </w:rPr>
      </w:pPr>
      <w:r w:rsidRPr="00E52ECB">
        <w:rPr>
          <w:i/>
          <w:sz w:val="28"/>
          <w:szCs w:val="28"/>
        </w:rPr>
        <w:t>Первый вариант</w:t>
      </w:r>
      <w:r>
        <w:rPr>
          <w:sz w:val="28"/>
          <w:szCs w:val="28"/>
        </w:rPr>
        <w:t xml:space="preserve"> предполагает определять балансовую стоимость краткосрочных финансовых инвестиций на основе совокупного портфеля в целом – по наименьшей оценке из покупной и текущей стоимости.</w:t>
      </w:r>
    </w:p>
    <w:p w:rsidR="0039278C" w:rsidRDefault="00F86457" w:rsidP="00604F8E">
      <w:pPr>
        <w:widowControl w:val="0"/>
        <w:autoSpaceDE w:val="0"/>
        <w:autoSpaceDN w:val="0"/>
        <w:ind w:firstLine="709"/>
        <w:jc w:val="both"/>
        <w:rPr>
          <w:sz w:val="28"/>
          <w:szCs w:val="28"/>
        </w:rPr>
      </w:pPr>
      <w:r w:rsidRPr="00E52ECB">
        <w:rPr>
          <w:i/>
          <w:sz w:val="28"/>
          <w:szCs w:val="28"/>
        </w:rPr>
        <w:t>Второй вариант</w:t>
      </w:r>
      <w:r>
        <w:rPr>
          <w:sz w:val="28"/>
          <w:szCs w:val="28"/>
        </w:rPr>
        <w:t xml:space="preserve"> предполагает определять балансовую стоимость краткосрочных финансовых инвестиций на основе совокупного портфеля по видам инвестиций. Например, отдельно по портфелю акций и отдельно по портфелю облигаций.</w:t>
      </w:r>
    </w:p>
    <w:p w:rsidR="00F86457" w:rsidRDefault="00F86457" w:rsidP="00604F8E">
      <w:pPr>
        <w:widowControl w:val="0"/>
        <w:autoSpaceDE w:val="0"/>
        <w:autoSpaceDN w:val="0"/>
        <w:ind w:firstLine="709"/>
        <w:jc w:val="both"/>
        <w:rPr>
          <w:sz w:val="28"/>
          <w:szCs w:val="28"/>
        </w:rPr>
      </w:pPr>
      <w:r w:rsidRPr="00E52ECB">
        <w:rPr>
          <w:i/>
          <w:sz w:val="28"/>
          <w:szCs w:val="28"/>
        </w:rPr>
        <w:t>Третий вариант</w:t>
      </w:r>
      <w:r>
        <w:rPr>
          <w:sz w:val="28"/>
          <w:szCs w:val="28"/>
        </w:rPr>
        <w:t xml:space="preserve"> предполагает определять балансовую стоимость краткосрочных финансовых инвестиций на основе отдельно взятой инвестиции.</w:t>
      </w:r>
    </w:p>
    <w:p w:rsidR="00604F8E" w:rsidRDefault="00604F8E" w:rsidP="00604F8E">
      <w:pPr>
        <w:widowControl w:val="0"/>
        <w:autoSpaceDE w:val="0"/>
        <w:autoSpaceDN w:val="0"/>
        <w:ind w:firstLine="709"/>
        <w:jc w:val="both"/>
        <w:rPr>
          <w:sz w:val="28"/>
          <w:szCs w:val="28"/>
        </w:rPr>
      </w:pPr>
      <w:r>
        <w:rPr>
          <w:sz w:val="28"/>
          <w:szCs w:val="28"/>
        </w:rPr>
        <w:t xml:space="preserve">В учетной политике в части краткосрочных финансовых инвестиций необходимо установить периодичность отражения изменения стоимости имеющихся краткосрочных финансовых инвестиций и основание для отражения изменений (либо на основе котируемой на биржевом или внебиржевом рынке цены, либо по справедливой расчетной рыночной стоимости, определенной по согласованию сторон исходя из </w:t>
      </w:r>
      <w:r w:rsidR="004E77F4">
        <w:rPr>
          <w:sz w:val="28"/>
          <w:szCs w:val="28"/>
        </w:rPr>
        <w:t>доходности ценной бумаги).</w:t>
      </w:r>
    </w:p>
    <w:p w:rsidR="00B00DA2" w:rsidRDefault="00B00DA2" w:rsidP="004F093C">
      <w:pPr>
        <w:widowControl w:val="0"/>
        <w:autoSpaceDE w:val="0"/>
        <w:autoSpaceDN w:val="0"/>
        <w:spacing w:after="120"/>
        <w:ind w:firstLine="709"/>
        <w:jc w:val="center"/>
        <w:rPr>
          <w:sz w:val="28"/>
          <w:szCs w:val="28"/>
        </w:rPr>
      </w:pPr>
      <w:r>
        <w:rPr>
          <w:sz w:val="28"/>
          <w:szCs w:val="28"/>
        </w:rPr>
        <w:t>Корреспонденция счетов</w:t>
      </w:r>
      <w:r w:rsidR="004F093C">
        <w:rPr>
          <w:sz w:val="28"/>
          <w:szCs w:val="28"/>
        </w:rPr>
        <w:t xml:space="preserve"> при переоценке</w:t>
      </w:r>
      <w:r>
        <w:rPr>
          <w:sz w:val="28"/>
          <w:szCs w:val="28"/>
        </w:rPr>
        <w:t xml:space="preserve"> по счетам подраздела 1100 «Краткосрочные финансовые инвестиции»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5624"/>
        <w:gridCol w:w="1559"/>
        <w:gridCol w:w="1474"/>
      </w:tblGrid>
      <w:tr w:rsidR="00B00DA2" w:rsidRPr="00B00DA2">
        <w:tc>
          <w:tcPr>
            <w:tcW w:w="812" w:type="dxa"/>
            <w:vMerge w:val="restart"/>
            <w:tcMar>
              <w:left w:w="57" w:type="dxa"/>
              <w:right w:w="57" w:type="dxa"/>
            </w:tcMar>
            <w:vAlign w:val="center"/>
          </w:tcPr>
          <w:p w:rsidR="00B00DA2" w:rsidRPr="00B00DA2" w:rsidRDefault="00B00DA2" w:rsidP="009322FA">
            <w:pPr>
              <w:widowControl w:val="0"/>
              <w:autoSpaceDE w:val="0"/>
              <w:autoSpaceDN w:val="0"/>
              <w:jc w:val="center"/>
            </w:pPr>
            <w:r>
              <w:t>№ п.п</w:t>
            </w:r>
          </w:p>
        </w:tc>
        <w:tc>
          <w:tcPr>
            <w:tcW w:w="5624" w:type="dxa"/>
            <w:vMerge w:val="restart"/>
            <w:vAlign w:val="center"/>
          </w:tcPr>
          <w:p w:rsidR="00B00DA2" w:rsidRPr="00B00DA2" w:rsidRDefault="00B00DA2" w:rsidP="009322FA">
            <w:pPr>
              <w:widowControl w:val="0"/>
              <w:autoSpaceDE w:val="0"/>
              <w:autoSpaceDN w:val="0"/>
              <w:jc w:val="center"/>
            </w:pPr>
            <w:r>
              <w:t>Содержание операции</w:t>
            </w:r>
          </w:p>
        </w:tc>
        <w:tc>
          <w:tcPr>
            <w:tcW w:w="3033" w:type="dxa"/>
            <w:gridSpan w:val="2"/>
            <w:vAlign w:val="center"/>
          </w:tcPr>
          <w:p w:rsidR="00B00DA2" w:rsidRPr="00B00DA2" w:rsidRDefault="00B00DA2" w:rsidP="009322FA">
            <w:pPr>
              <w:widowControl w:val="0"/>
              <w:autoSpaceDE w:val="0"/>
              <w:autoSpaceDN w:val="0"/>
              <w:jc w:val="center"/>
            </w:pPr>
            <w:r>
              <w:t>Корреспонденция счетов</w:t>
            </w:r>
          </w:p>
        </w:tc>
      </w:tr>
      <w:tr w:rsidR="00B00DA2" w:rsidRPr="00B00DA2">
        <w:tc>
          <w:tcPr>
            <w:tcW w:w="812" w:type="dxa"/>
            <w:vMerge/>
            <w:tcBorders>
              <w:bottom w:val="single" w:sz="4" w:space="0" w:color="auto"/>
            </w:tcBorders>
            <w:tcMar>
              <w:left w:w="57" w:type="dxa"/>
              <w:right w:w="57" w:type="dxa"/>
            </w:tcMar>
            <w:vAlign w:val="center"/>
          </w:tcPr>
          <w:p w:rsidR="00B00DA2" w:rsidRPr="00B00DA2" w:rsidRDefault="00B00DA2" w:rsidP="009322FA">
            <w:pPr>
              <w:widowControl w:val="0"/>
              <w:autoSpaceDE w:val="0"/>
              <w:autoSpaceDN w:val="0"/>
              <w:jc w:val="center"/>
            </w:pPr>
          </w:p>
        </w:tc>
        <w:tc>
          <w:tcPr>
            <w:tcW w:w="5624" w:type="dxa"/>
            <w:vMerge/>
            <w:vAlign w:val="center"/>
          </w:tcPr>
          <w:p w:rsidR="00B00DA2" w:rsidRPr="00B00DA2" w:rsidRDefault="00B00DA2" w:rsidP="009322FA">
            <w:pPr>
              <w:widowControl w:val="0"/>
              <w:autoSpaceDE w:val="0"/>
              <w:autoSpaceDN w:val="0"/>
              <w:jc w:val="center"/>
            </w:pPr>
          </w:p>
        </w:tc>
        <w:tc>
          <w:tcPr>
            <w:tcW w:w="1559" w:type="dxa"/>
            <w:vAlign w:val="center"/>
          </w:tcPr>
          <w:p w:rsidR="00B00DA2" w:rsidRPr="00B00DA2" w:rsidRDefault="00B00DA2" w:rsidP="009322FA">
            <w:pPr>
              <w:widowControl w:val="0"/>
              <w:autoSpaceDE w:val="0"/>
              <w:autoSpaceDN w:val="0"/>
              <w:jc w:val="center"/>
            </w:pPr>
            <w:r>
              <w:t>Дебет</w:t>
            </w:r>
          </w:p>
        </w:tc>
        <w:tc>
          <w:tcPr>
            <w:tcW w:w="1474" w:type="dxa"/>
            <w:vAlign w:val="center"/>
          </w:tcPr>
          <w:p w:rsidR="00B00DA2" w:rsidRPr="00B00DA2" w:rsidRDefault="00B00DA2" w:rsidP="009322FA">
            <w:pPr>
              <w:widowControl w:val="0"/>
              <w:autoSpaceDE w:val="0"/>
              <w:autoSpaceDN w:val="0"/>
              <w:jc w:val="center"/>
            </w:pPr>
            <w:r>
              <w:t>Кредит</w:t>
            </w:r>
          </w:p>
        </w:tc>
      </w:tr>
      <w:tr w:rsidR="004F093C" w:rsidRPr="00B00DA2">
        <w:trPr>
          <w:trHeight w:val="795"/>
        </w:trPr>
        <w:tc>
          <w:tcPr>
            <w:tcW w:w="812" w:type="dxa"/>
            <w:tcBorders>
              <w:top w:val="single" w:sz="4" w:space="0" w:color="auto"/>
              <w:bottom w:val="single" w:sz="4" w:space="0" w:color="auto"/>
            </w:tcBorders>
            <w:tcMar>
              <w:left w:w="57" w:type="dxa"/>
              <w:right w:w="57" w:type="dxa"/>
            </w:tcMar>
            <w:vAlign w:val="center"/>
          </w:tcPr>
          <w:p w:rsidR="004F093C" w:rsidRPr="00B00DA2" w:rsidRDefault="004F093C" w:rsidP="009322FA">
            <w:pPr>
              <w:widowControl w:val="0"/>
              <w:autoSpaceDE w:val="0"/>
              <w:autoSpaceDN w:val="0"/>
              <w:jc w:val="center"/>
            </w:pPr>
            <w:r>
              <w:t>1</w:t>
            </w:r>
          </w:p>
        </w:tc>
        <w:tc>
          <w:tcPr>
            <w:tcW w:w="5624" w:type="dxa"/>
            <w:tcBorders>
              <w:bottom w:val="single" w:sz="4" w:space="0" w:color="auto"/>
            </w:tcBorders>
            <w:vAlign w:val="center"/>
          </w:tcPr>
          <w:p w:rsidR="004F093C" w:rsidRPr="00B00DA2" w:rsidRDefault="004F093C" w:rsidP="009322FA">
            <w:pPr>
              <w:widowControl w:val="0"/>
              <w:autoSpaceDE w:val="0"/>
              <w:autoSpaceDN w:val="0"/>
            </w:pPr>
            <w:r>
              <w:t>Увеличение стоимости к</w:t>
            </w:r>
            <w:r w:rsidRPr="00B00DA2">
              <w:t>раткосрочны</w:t>
            </w:r>
            <w:r>
              <w:t>х</w:t>
            </w:r>
            <w:r w:rsidRPr="00B00DA2">
              <w:t xml:space="preserve"> финансовы</w:t>
            </w:r>
            <w:r>
              <w:t>х</w:t>
            </w:r>
            <w:r w:rsidRPr="00B00DA2">
              <w:t xml:space="preserve"> инвестици</w:t>
            </w:r>
            <w:r>
              <w:t>й в результате переоценки</w:t>
            </w:r>
          </w:p>
        </w:tc>
        <w:tc>
          <w:tcPr>
            <w:tcW w:w="1559" w:type="dxa"/>
            <w:tcBorders>
              <w:bottom w:val="single" w:sz="4" w:space="0" w:color="auto"/>
            </w:tcBorders>
            <w:vAlign w:val="center"/>
          </w:tcPr>
          <w:p w:rsidR="004F093C" w:rsidRDefault="004F093C" w:rsidP="009322FA">
            <w:pPr>
              <w:widowControl w:val="0"/>
              <w:autoSpaceDE w:val="0"/>
              <w:autoSpaceDN w:val="0"/>
              <w:jc w:val="center"/>
            </w:pPr>
            <w:r>
              <w:t>1120, 1140, 1150</w:t>
            </w:r>
          </w:p>
        </w:tc>
        <w:tc>
          <w:tcPr>
            <w:tcW w:w="1474" w:type="dxa"/>
            <w:tcBorders>
              <w:bottom w:val="single" w:sz="4" w:space="0" w:color="auto"/>
            </w:tcBorders>
            <w:vAlign w:val="center"/>
          </w:tcPr>
          <w:p w:rsidR="004F093C" w:rsidRDefault="004F093C" w:rsidP="009322FA">
            <w:pPr>
              <w:widowControl w:val="0"/>
              <w:autoSpaceDE w:val="0"/>
              <w:autoSpaceDN w:val="0"/>
              <w:jc w:val="center"/>
            </w:pPr>
            <w:r>
              <w:t>6150</w:t>
            </w:r>
          </w:p>
        </w:tc>
      </w:tr>
      <w:tr w:rsidR="004F093C" w:rsidRPr="00B00DA2">
        <w:trPr>
          <w:trHeight w:val="600"/>
        </w:trPr>
        <w:tc>
          <w:tcPr>
            <w:tcW w:w="812" w:type="dxa"/>
            <w:tcBorders>
              <w:top w:val="single" w:sz="4" w:space="0" w:color="auto"/>
            </w:tcBorders>
            <w:tcMar>
              <w:left w:w="57" w:type="dxa"/>
              <w:right w:w="57" w:type="dxa"/>
            </w:tcMar>
            <w:vAlign w:val="center"/>
          </w:tcPr>
          <w:p w:rsidR="004F093C" w:rsidRDefault="004F093C" w:rsidP="009322FA">
            <w:pPr>
              <w:widowControl w:val="0"/>
              <w:autoSpaceDE w:val="0"/>
              <w:autoSpaceDN w:val="0"/>
              <w:jc w:val="center"/>
            </w:pPr>
            <w:r>
              <w:t>2</w:t>
            </w:r>
          </w:p>
        </w:tc>
        <w:tc>
          <w:tcPr>
            <w:tcW w:w="5624" w:type="dxa"/>
            <w:vAlign w:val="center"/>
          </w:tcPr>
          <w:p w:rsidR="004F093C" w:rsidRDefault="004F093C" w:rsidP="009322FA">
            <w:pPr>
              <w:widowControl w:val="0"/>
              <w:autoSpaceDE w:val="0"/>
              <w:autoSpaceDN w:val="0"/>
            </w:pPr>
            <w:r>
              <w:t>Обесценение к</w:t>
            </w:r>
            <w:r w:rsidRPr="00B00DA2">
              <w:t>раткосрочны</w:t>
            </w:r>
            <w:r>
              <w:t>х</w:t>
            </w:r>
            <w:r w:rsidRPr="00B00DA2">
              <w:t xml:space="preserve"> финансовы</w:t>
            </w:r>
            <w:r>
              <w:t>х</w:t>
            </w:r>
            <w:r w:rsidRPr="00B00DA2">
              <w:t xml:space="preserve"> инвестици</w:t>
            </w:r>
            <w:r>
              <w:t>й, удерживаемых до погашения</w:t>
            </w:r>
          </w:p>
        </w:tc>
        <w:tc>
          <w:tcPr>
            <w:tcW w:w="1559" w:type="dxa"/>
            <w:vAlign w:val="center"/>
          </w:tcPr>
          <w:p w:rsidR="004F093C" w:rsidRDefault="004F093C" w:rsidP="009322FA">
            <w:pPr>
              <w:widowControl w:val="0"/>
              <w:autoSpaceDE w:val="0"/>
              <w:autoSpaceDN w:val="0"/>
              <w:jc w:val="center"/>
            </w:pPr>
            <w:r>
              <w:t>7420</w:t>
            </w:r>
          </w:p>
        </w:tc>
        <w:tc>
          <w:tcPr>
            <w:tcW w:w="1474" w:type="dxa"/>
            <w:vAlign w:val="center"/>
          </w:tcPr>
          <w:p w:rsidR="004F093C" w:rsidRDefault="004F093C" w:rsidP="009322FA">
            <w:pPr>
              <w:widowControl w:val="0"/>
              <w:autoSpaceDE w:val="0"/>
              <w:autoSpaceDN w:val="0"/>
              <w:jc w:val="center"/>
            </w:pPr>
            <w:r>
              <w:t>1130</w:t>
            </w:r>
          </w:p>
        </w:tc>
      </w:tr>
      <w:tr w:rsidR="004F093C" w:rsidRPr="00B00DA2">
        <w:trPr>
          <w:trHeight w:val="600"/>
        </w:trPr>
        <w:tc>
          <w:tcPr>
            <w:tcW w:w="812" w:type="dxa"/>
            <w:tcMar>
              <w:left w:w="57" w:type="dxa"/>
              <w:right w:w="57" w:type="dxa"/>
            </w:tcMar>
            <w:vAlign w:val="center"/>
          </w:tcPr>
          <w:p w:rsidR="004F093C" w:rsidRDefault="004F093C" w:rsidP="009322FA">
            <w:pPr>
              <w:widowControl w:val="0"/>
              <w:autoSpaceDE w:val="0"/>
              <w:autoSpaceDN w:val="0"/>
              <w:jc w:val="center"/>
            </w:pPr>
            <w:r>
              <w:t>3</w:t>
            </w:r>
          </w:p>
        </w:tc>
        <w:tc>
          <w:tcPr>
            <w:tcW w:w="5624" w:type="dxa"/>
            <w:vAlign w:val="center"/>
          </w:tcPr>
          <w:p w:rsidR="004F093C" w:rsidRDefault="004F093C" w:rsidP="009322FA">
            <w:pPr>
              <w:widowControl w:val="0"/>
              <w:autoSpaceDE w:val="0"/>
              <w:autoSpaceDN w:val="0"/>
            </w:pPr>
            <w:r>
              <w:t>Снижение стоимости к</w:t>
            </w:r>
            <w:r w:rsidRPr="00B00DA2">
              <w:t>раткосрочны</w:t>
            </w:r>
            <w:r>
              <w:t>х</w:t>
            </w:r>
            <w:r w:rsidRPr="00B00DA2">
              <w:t xml:space="preserve"> финансовы</w:t>
            </w:r>
            <w:r>
              <w:t>х</w:t>
            </w:r>
            <w:r w:rsidRPr="00B00DA2">
              <w:t xml:space="preserve"> инвестици</w:t>
            </w:r>
            <w:r>
              <w:t>й в результате переоценки</w:t>
            </w:r>
          </w:p>
        </w:tc>
        <w:tc>
          <w:tcPr>
            <w:tcW w:w="1559" w:type="dxa"/>
            <w:vAlign w:val="center"/>
          </w:tcPr>
          <w:p w:rsidR="004F093C" w:rsidRDefault="004F093C" w:rsidP="009322FA">
            <w:pPr>
              <w:widowControl w:val="0"/>
              <w:autoSpaceDE w:val="0"/>
              <w:autoSpaceDN w:val="0"/>
              <w:jc w:val="center"/>
            </w:pPr>
            <w:r>
              <w:t>7330</w:t>
            </w:r>
          </w:p>
        </w:tc>
        <w:tc>
          <w:tcPr>
            <w:tcW w:w="1474" w:type="dxa"/>
            <w:vAlign w:val="center"/>
          </w:tcPr>
          <w:p w:rsidR="004F093C" w:rsidRDefault="004F093C" w:rsidP="009322FA">
            <w:pPr>
              <w:widowControl w:val="0"/>
              <w:autoSpaceDE w:val="0"/>
              <w:autoSpaceDN w:val="0"/>
              <w:jc w:val="center"/>
            </w:pPr>
            <w:r>
              <w:t>1120, 1140, 1150</w:t>
            </w:r>
          </w:p>
        </w:tc>
      </w:tr>
      <w:tr w:rsidR="004F093C" w:rsidRPr="00B00DA2">
        <w:trPr>
          <w:trHeight w:val="600"/>
        </w:trPr>
        <w:tc>
          <w:tcPr>
            <w:tcW w:w="812" w:type="dxa"/>
            <w:tcMar>
              <w:left w:w="57" w:type="dxa"/>
              <w:right w:w="57" w:type="dxa"/>
            </w:tcMar>
            <w:vAlign w:val="center"/>
          </w:tcPr>
          <w:p w:rsidR="004F093C" w:rsidRDefault="004F093C" w:rsidP="009322FA">
            <w:pPr>
              <w:widowControl w:val="0"/>
              <w:autoSpaceDE w:val="0"/>
              <w:autoSpaceDN w:val="0"/>
              <w:jc w:val="center"/>
            </w:pPr>
            <w:r>
              <w:t>4</w:t>
            </w:r>
          </w:p>
        </w:tc>
        <w:tc>
          <w:tcPr>
            <w:tcW w:w="5624" w:type="dxa"/>
            <w:tcBorders>
              <w:top w:val="single" w:sz="4" w:space="0" w:color="auto"/>
            </w:tcBorders>
            <w:vAlign w:val="center"/>
          </w:tcPr>
          <w:p w:rsidR="004F093C" w:rsidRDefault="004F093C" w:rsidP="009322FA">
            <w:pPr>
              <w:widowControl w:val="0"/>
              <w:tabs>
                <w:tab w:val="left" w:pos="322"/>
              </w:tabs>
              <w:autoSpaceDE w:val="0"/>
              <w:autoSpaceDN w:val="0"/>
            </w:pPr>
            <w:r>
              <w:t>Восстановление ранее списанной суммы обесценения стоимости к</w:t>
            </w:r>
            <w:r w:rsidRPr="00B00DA2">
              <w:t>раткосрочны</w:t>
            </w:r>
            <w:r>
              <w:t>х</w:t>
            </w:r>
            <w:r w:rsidRPr="00B00DA2">
              <w:t xml:space="preserve"> финансовы</w:t>
            </w:r>
            <w:r>
              <w:t>х</w:t>
            </w:r>
            <w:r w:rsidRPr="00B00DA2">
              <w:t xml:space="preserve"> инвестици</w:t>
            </w:r>
            <w:r>
              <w:t>й при увеличении их стоимости</w:t>
            </w:r>
          </w:p>
        </w:tc>
        <w:tc>
          <w:tcPr>
            <w:tcW w:w="1559" w:type="dxa"/>
            <w:tcBorders>
              <w:top w:val="single" w:sz="4" w:space="0" w:color="auto"/>
            </w:tcBorders>
            <w:vAlign w:val="center"/>
          </w:tcPr>
          <w:p w:rsidR="004F093C" w:rsidRDefault="004F093C" w:rsidP="009322FA">
            <w:pPr>
              <w:widowControl w:val="0"/>
              <w:autoSpaceDE w:val="0"/>
              <w:autoSpaceDN w:val="0"/>
              <w:jc w:val="center"/>
            </w:pPr>
            <w:r>
              <w:t>1110, 1130</w:t>
            </w:r>
          </w:p>
        </w:tc>
        <w:tc>
          <w:tcPr>
            <w:tcW w:w="1474" w:type="dxa"/>
            <w:tcBorders>
              <w:top w:val="single" w:sz="4" w:space="0" w:color="auto"/>
            </w:tcBorders>
            <w:vAlign w:val="center"/>
          </w:tcPr>
          <w:p w:rsidR="004F093C" w:rsidRDefault="004F093C" w:rsidP="009322FA">
            <w:pPr>
              <w:widowControl w:val="0"/>
              <w:autoSpaceDE w:val="0"/>
              <w:autoSpaceDN w:val="0"/>
              <w:jc w:val="center"/>
            </w:pPr>
            <w:r>
              <w:t>6240</w:t>
            </w:r>
          </w:p>
        </w:tc>
      </w:tr>
    </w:tbl>
    <w:p w:rsidR="00E906DC" w:rsidRDefault="00403EDE" w:rsidP="004F630D">
      <w:pPr>
        <w:widowControl w:val="0"/>
        <w:numPr>
          <w:ilvl w:val="0"/>
          <w:numId w:val="13"/>
        </w:numPr>
        <w:tabs>
          <w:tab w:val="left" w:pos="-5387"/>
        </w:tabs>
        <w:autoSpaceDE w:val="0"/>
        <w:autoSpaceDN w:val="0"/>
        <w:spacing w:before="240" w:after="120"/>
        <w:ind w:hanging="731"/>
        <w:rPr>
          <w:b/>
          <w:sz w:val="28"/>
          <w:szCs w:val="28"/>
        </w:rPr>
      </w:pPr>
      <w:r>
        <w:rPr>
          <w:b/>
          <w:sz w:val="28"/>
          <w:szCs w:val="28"/>
        </w:rPr>
        <w:t>Долгосрочные инвестиции.</w:t>
      </w:r>
    </w:p>
    <w:p w:rsidR="00D87EDA" w:rsidRDefault="00E90338" w:rsidP="00490CAC">
      <w:pPr>
        <w:widowControl w:val="0"/>
        <w:autoSpaceDE w:val="0"/>
        <w:autoSpaceDN w:val="0"/>
        <w:ind w:firstLine="720"/>
        <w:jc w:val="both"/>
        <w:rPr>
          <w:sz w:val="28"/>
          <w:szCs w:val="28"/>
        </w:rPr>
      </w:pPr>
      <w:r w:rsidRPr="00E90338">
        <w:rPr>
          <w:b/>
          <w:sz w:val="28"/>
          <w:szCs w:val="28"/>
        </w:rPr>
        <w:t>Долгосрочные финансовые инвестиции</w:t>
      </w:r>
      <w:r>
        <w:rPr>
          <w:sz w:val="28"/>
          <w:szCs w:val="28"/>
        </w:rPr>
        <w:t xml:space="preserve"> учитываются в бухгалтер</w:t>
      </w:r>
      <w:r w:rsidR="004F630D">
        <w:rPr>
          <w:sz w:val="28"/>
          <w:szCs w:val="28"/>
        </w:rPr>
        <w:softHyphen/>
      </w:r>
      <w:r>
        <w:rPr>
          <w:sz w:val="28"/>
          <w:szCs w:val="28"/>
        </w:rPr>
        <w:t>ском балансе по:</w:t>
      </w:r>
    </w:p>
    <w:p w:rsidR="00E90338" w:rsidRDefault="00E90338" w:rsidP="00E90338">
      <w:pPr>
        <w:widowControl w:val="0"/>
        <w:numPr>
          <w:ilvl w:val="0"/>
          <w:numId w:val="8"/>
        </w:numPr>
        <w:autoSpaceDE w:val="0"/>
        <w:autoSpaceDN w:val="0"/>
        <w:jc w:val="both"/>
        <w:rPr>
          <w:sz w:val="28"/>
          <w:szCs w:val="28"/>
        </w:rPr>
      </w:pPr>
      <w:r>
        <w:rPr>
          <w:sz w:val="28"/>
          <w:szCs w:val="28"/>
        </w:rPr>
        <w:t>покупной стоимости;</w:t>
      </w:r>
    </w:p>
    <w:p w:rsidR="00E90338" w:rsidRDefault="00E90338" w:rsidP="00E90338">
      <w:pPr>
        <w:widowControl w:val="0"/>
        <w:numPr>
          <w:ilvl w:val="0"/>
          <w:numId w:val="8"/>
        </w:numPr>
        <w:autoSpaceDE w:val="0"/>
        <w:autoSpaceDN w:val="0"/>
        <w:jc w:val="both"/>
        <w:rPr>
          <w:sz w:val="28"/>
          <w:szCs w:val="28"/>
        </w:rPr>
      </w:pPr>
      <w:r>
        <w:rPr>
          <w:sz w:val="28"/>
          <w:szCs w:val="28"/>
        </w:rPr>
        <w:t>стоимости с учетом переоценки;</w:t>
      </w:r>
    </w:p>
    <w:p w:rsidR="00E90338" w:rsidRPr="00490CAC" w:rsidRDefault="00E90338" w:rsidP="00E90338">
      <w:pPr>
        <w:widowControl w:val="0"/>
        <w:numPr>
          <w:ilvl w:val="0"/>
          <w:numId w:val="8"/>
        </w:numPr>
        <w:autoSpaceDE w:val="0"/>
        <w:autoSpaceDN w:val="0"/>
        <w:jc w:val="both"/>
        <w:rPr>
          <w:sz w:val="28"/>
          <w:szCs w:val="28"/>
        </w:rPr>
      </w:pPr>
      <w:r>
        <w:rPr>
          <w:sz w:val="28"/>
          <w:szCs w:val="28"/>
        </w:rPr>
        <w:t>наименьшей оценке из покупной и текущей стоимости, определяемой на основе портфеля ценных бумаг.</w:t>
      </w:r>
    </w:p>
    <w:p w:rsidR="00403EDE" w:rsidRDefault="00F86457" w:rsidP="00F86457">
      <w:pPr>
        <w:ind w:firstLine="709"/>
        <w:jc w:val="both"/>
        <w:rPr>
          <w:sz w:val="28"/>
          <w:szCs w:val="28"/>
        </w:rPr>
      </w:pPr>
      <w:r w:rsidRPr="00F86457">
        <w:rPr>
          <w:sz w:val="28"/>
          <w:szCs w:val="28"/>
        </w:rPr>
        <w:t xml:space="preserve">Для </w:t>
      </w:r>
      <w:r>
        <w:rPr>
          <w:sz w:val="28"/>
          <w:szCs w:val="28"/>
        </w:rPr>
        <w:t xml:space="preserve">переоценки долгосрочных финансовых </w:t>
      </w:r>
      <w:r w:rsidR="00475F62">
        <w:rPr>
          <w:sz w:val="28"/>
          <w:szCs w:val="28"/>
        </w:rPr>
        <w:t>инвестиций необходимо определить периодичность переоценки и учесть при этом то, что инвестиции одного вида должны переоцениваться одновременно.</w:t>
      </w:r>
    </w:p>
    <w:p w:rsidR="00475F62" w:rsidRDefault="00475F62" w:rsidP="00F86457">
      <w:pPr>
        <w:ind w:firstLine="709"/>
        <w:jc w:val="both"/>
        <w:rPr>
          <w:sz w:val="28"/>
          <w:szCs w:val="28"/>
        </w:rPr>
      </w:pPr>
      <w:r>
        <w:rPr>
          <w:sz w:val="28"/>
          <w:szCs w:val="28"/>
        </w:rPr>
        <w:t>В случае необратимого снижения стоимости долгосрочных финансовых инвестиций, их балансовая стоимость должна быть пересмотрена. Такое снижение стоимости определяется и учитывается для каждой инвестиции отдельно. При этом принимается во внимание разновидность риска и величина доли инвестора в инвестируемом субъекте.</w:t>
      </w:r>
    </w:p>
    <w:p w:rsidR="00475F62" w:rsidRDefault="00475F62" w:rsidP="00F86457">
      <w:pPr>
        <w:ind w:firstLine="709"/>
        <w:jc w:val="both"/>
        <w:rPr>
          <w:sz w:val="28"/>
          <w:szCs w:val="28"/>
        </w:rPr>
      </w:pPr>
      <w:r>
        <w:rPr>
          <w:sz w:val="28"/>
          <w:szCs w:val="28"/>
        </w:rPr>
        <w:t>Сумма дооценки долгосрочных финансовых инвестиций относится на увеличение собственного капитала. При снижении стоимости инвестиций уменьшение производится за счет суммы дооценки той же инвестиции.</w:t>
      </w:r>
    </w:p>
    <w:p w:rsidR="00475F62" w:rsidRDefault="00475F62" w:rsidP="00F86457">
      <w:pPr>
        <w:ind w:firstLine="709"/>
        <w:jc w:val="both"/>
        <w:rPr>
          <w:sz w:val="28"/>
          <w:szCs w:val="28"/>
        </w:rPr>
      </w:pPr>
      <w:r>
        <w:rPr>
          <w:sz w:val="28"/>
          <w:szCs w:val="28"/>
        </w:rPr>
        <w:t>При отсутствии (недостаточности) суммы дооценки одной и той же инвестиции, снижение ее стоимости относится на убыток.</w:t>
      </w:r>
    </w:p>
    <w:p w:rsidR="00475F62" w:rsidRDefault="00475F62" w:rsidP="00F86457">
      <w:pPr>
        <w:ind w:firstLine="709"/>
        <w:jc w:val="both"/>
        <w:rPr>
          <w:sz w:val="28"/>
          <w:szCs w:val="28"/>
        </w:rPr>
      </w:pPr>
      <w:r>
        <w:rPr>
          <w:sz w:val="28"/>
          <w:szCs w:val="28"/>
        </w:rPr>
        <w:t>Сумма дооценки инвестиции, стоимость которой ранее была снижена, относится на увеличение собственного капитала после погашения убытка от той же инвестиции.</w:t>
      </w:r>
    </w:p>
    <w:p w:rsidR="00475F62" w:rsidRDefault="00475F62" w:rsidP="00F86457">
      <w:pPr>
        <w:ind w:firstLine="709"/>
        <w:jc w:val="both"/>
        <w:rPr>
          <w:sz w:val="28"/>
          <w:szCs w:val="28"/>
        </w:rPr>
      </w:pPr>
      <w:r>
        <w:rPr>
          <w:sz w:val="28"/>
          <w:szCs w:val="28"/>
        </w:rPr>
        <w:t>Если в результате переоценки долгосрочных финансовых инвестиций первоначально произошло уменьшение, а затем увеличение, то предыдущая сумма уменьшения стоимости долгосрочных финансовых инвестиций подлежит восстановлению. Сумма от переоценки долгосрочных финансовых инвестиций</w:t>
      </w:r>
      <w:r w:rsidR="000C701A">
        <w:rPr>
          <w:sz w:val="28"/>
          <w:szCs w:val="28"/>
        </w:rPr>
        <w:t>, подлежащая восстановлению, в зависимости от принятой учетной политики признается как доход или как нераспределенный доход.</w:t>
      </w:r>
    </w:p>
    <w:p w:rsidR="000C701A" w:rsidRDefault="000C701A" w:rsidP="00F86457">
      <w:pPr>
        <w:ind w:firstLine="709"/>
        <w:jc w:val="both"/>
        <w:rPr>
          <w:sz w:val="28"/>
          <w:szCs w:val="28"/>
        </w:rPr>
      </w:pPr>
      <w:r>
        <w:rPr>
          <w:sz w:val="28"/>
          <w:szCs w:val="28"/>
        </w:rPr>
        <w:t>Каждый субъект в учетной политике оговаривает периодичность переоценки имеющихся финансовых инвестиций и основание – либо на основе котируемой на бирже рыночной цены, либо по справедливой стоимости.</w:t>
      </w:r>
    </w:p>
    <w:p w:rsidR="000C701A" w:rsidRDefault="000C701A" w:rsidP="00F86457">
      <w:pPr>
        <w:ind w:firstLine="709"/>
        <w:jc w:val="both"/>
        <w:rPr>
          <w:sz w:val="28"/>
          <w:szCs w:val="28"/>
        </w:rPr>
      </w:pPr>
      <w:r>
        <w:rPr>
          <w:sz w:val="28"/>
          <w:szCs w:val="28"/>
        </w:rPr>
        <w:t>Процесс принятия решений о долгосрочных финансовых инвестициях является одним из самых трудных и противоречивых финансовых вопросов. Когда инвестор вкладывает средства в долгосрочные инвестиции, от он отказывается от денежных средств сегодня, в пользу дохода в будущем. Инвестиционный проект оценивается в соответствии с тем, даст ли он прибыль, равную или большую, чем необходимо инвесторам. Изначально существует такой коэффициент окупаемости, который позволяет рыночной цене инвестиции остаться неизменной. Но на практике принятие управленческих решений, зачастую влечет за собой изменение коэффициента окупаемости и, как следствие, оценки долгосрочных финансовых инвестиций.</w:t>
      </w:r>
    </w:p>
    <w:p w:rsidR="000C701A" w:rsidRDefault="000C701A" w:rsidP="00F86457">
      <w:pPr>
        <w:ind w:firstLine="709"/>
        <w:jc w:val="both"/>
        <w:rPr>
          <w:sz w:val="28"/>
          <w:szCs w:val="28"/>
        </w:rPr>
      </w:pPr>
      <w:r>
        <w:rPr>
          <w:sz w:val="28"/>
          <w:szCs w:val="28"/>
        </w:rPr>
        <w:t>Если учетной политикой хозяйствующего субъекта предусмотрен порядок переоценки долгосрочных финансовых инвестиций в зависимости от изменения показателей эффективности в определенный период времени, то логично пересчитывать изменение именно тех показателей, которые использовались при предварительной оценке инвестиционных проектов.</w:t>
      </w:r>
    </w:p>
    <w:p w:rsidR="00A6317D" w:rsidRDefault="00A6317D" w:rsidP="00F86457">
      <w:pPr>
        <w:ind w:firstLine="709"/>
        <w:jc w:val="both"/>
        <w:rPr>
          <w:sz w:val="28"/>
          <w:szCs w:val="28"/>
        </w:rPr>
      </w:pPr>
      <w:r>
        <w:rPr>
          <w:sz w:val="28"/>
          <w:szCs w:val="28"/>
        </w:rPr>
        <w:t>В практике существует четыре наиболее распространенных метода анализа эффективности долгосрочных инвестиций:</w:t>
      </w:r>
    </w:p>
    <w:p w:rsidR="00A6317D" w:rsidRDefault="00A6317D" w:rsidP="00A6317D">
      <w:pPr>
        <w:numPr>
          <w:ilvl w:val="0"/>
          <w:numId w:val="16"/>
        </w:numPr>
        <w:tabs>
          <w:tab w:val="left" w:pos="993"/>
        </w:tabs>
        <w:ind w:left="993" w:hanging="284"/>
        <w:jc w:val="both"/>
        <w:rPr>
          <w:sz w:val="28"/>
          <w:szCs w:val="28"/>
        </w:rPr>
      </w:pPr>
      <w:r>
        <w:rPr>
          <w:sz w:val="28"/>
          <w:szCs w:val="28"/>
        </w:rPr>
        <w:t>средней нормы дохода на инвестиции;</w:t>
      </w:r>
    </w:p>
    <w:p w:rsidR="00A6317D" w:rsidRDefault="00A6317D" w:rsidP="00A6317D">
      <w:pPr>
        <w:numPr>
          <w:ilvl w:val="0"/>
          <w:numId w:val="16"/>
        </w:numPr>
        <w:tabs>
          <w:tab w:val="left" w:pos="993"/>
        </w:tabs>
        <w:ind w:left="993" w:hanging="284"/>
        <w:jc w:val="both"/>
        <w:rPr>
          <w:sz w:val="28"/>
          <w:szCs w:val="28"/>
        </w:rPr>
      </w:pPr>
      <w:r>
        <w:rPr>
          <w:sz w:val="28"/>
          <w:szCs w:val="28"/>
        </w:rPr>
        <w:t>окупаемости;</w:t>
      </w:r>
    </w:p>
    <w:p w:rsidR="00A6317D" w:rsidRDefault="00A6317D" w:rsidP="00A6317D">
      <w:pPr>
        <w:numPr>
          <w:ilvl w:val="0"/>
          <w:numId w:val="16"/>
        </w:numPr>
        <w:tabs>
          <w:tab w:val="left" w:pos="993"/>
        </w:tabs>
        <w:ind w:left="993" w:hanging="284"/>
        <w:jc w:val="both"/>
        <w:rPr>
          <w:sz w:val="28"/>
          <w:szCs w:val="28"/>
        </w:rPr>
      </w:pPr>
      <w:r>
        <w:rPr>
          <w:sz w:val="28"/>
          <w:szCs w:val="28"/>
        </w:rPr>
        <w:t>внутренней нормы дохода;</w:t>
      </w:r>
    </w:p>
    <w:p w:rsidR="00A6317D" w:rsidRDefault="00A6317D" w:rsidP="00A6317D">
      <w:pPr>
        <w:numPr>
          <w:ilvl w:val="0"/>
          <w:numId w:val="16"/>
        </w:numPr>
        <w:tabs>
          <w:tab w:val="left" w:pos="993"/>
        </w:tabs>
        <w:ind w:left="993" w:hanging="284"/>
        <w:jc w:val="both"/>
        <w:rPr>
          <w:sz w:val="28"/>
          <w:szCs w:val="28"/>
        </w:rPr>
      </w:pPr>
      <w:r>
        <w:rPr>
          <w:sz w:val="28"/>
          <w:szCs w:val="28"/>
        </w:rPr>
        <w:t>чистой текущей стоимости.</w:t>
      </w:r>
    </w:p>
    <w:p w:rsidR="00A6317D" w:rsidRDefault="00A6317D" w:rsidP="00A6317D">
      <w:pPr>
        <w:numPr>
          <w:ilvl w:val="0"/>
          <w:numId w:val="18"/>
        </w:numPr>
        <w:tabs>
          <w:tab w:val="left" w:pos="1134"/>
        </w:tabs>
        <w:ind w:left="0" w:firstLine="709"/>
        <w:jc w:val="both"/>
        <w:rPr>
          <w:sz w:val="28"/>
          <w:szCs w:val="28"/>
        </w:rPr>
      </w:pPr>
      <w:r w:rsidRPr="00E23B8D">
        <w:rPr>
          <w:b/>
          <w:sz w:val="28"/>
          <w:szCs w:val="28"/>
        </w:rPr>
        <w:t>Метод средней нормы дохода на инвестиции</w:t>
      </w:r>
      <w:r>
        <w:rPr>
          <w:sz w:val="28"/>
          <w:szCs w:val="28"/>
        </w:rPr>
        <w:t>. Рассчитывается отклонение среднегодового дохода после налогообложения в определенный период времени того предприятия, в которое осуществлены финансовые инвестиции и средней величины инвестиций в проект. Изменение средней нормы дохода на инвестиции приводит к увеличению, либо к уменьшению стоимости долгосрочных финансовых инвестиций, то есть к необходимости их переоценки.</w:t>
      </w:r>
    </w:p>
    <w:p w:rsidR="00A6317D" w:rsidRDefault="00A6317D" w:rsidP="00A6317D">
      <w:pPr>
        <w:numPr>
          <w:ilvl w:val="0"/>
          <w:numId w:val="18"/>
        </w:numPr>
        <w:tabs>
          <w:tab w:val="left" w:pos="1134"/>
        </w:tabs>
        <w:ind w:left="0" w:firstLine="709"/>
        <w:jc w:val="both"/>
        <w:rPr>
          <w:sz w:val="28"/>
          <w:szCs w:val="28"/>
        </w:rPr>
      </w:pPr>
      <w:r w:rsidRPr="00E23B8D">
        <w:rPr>
          <w:b/>
          <w:sz w:val="28"/>
          <w:szCs w:val="28"/>
        </w:rPr>
        <w:t>Метод окупаемости</w:t>
      </w:r>
      <w:r>
        <w:rPr>
          <w:sz w:val="28"/>
          <w:szCs w:val="28"/>
        </w:rPr>
        <w:t>. Если при первоначальной оценке финансовых инвестиций использовался метод окупаемости и эффективность инвестиционного проекта определилась из числа лет, необходимых для возмещения стартовых инвестиционных расходов, долгосрочны</w:t>
      </w:r>
      <w:r w:rsidR="00967A3C">
        <w:rPr>
          <w:sz w:val="28"/>
          <w:szCs w:val="28"/>
        </w:rPr>
        <w:t>е</w:t>
      </w:r>
      <w:r>
        <w:rPr>
          <w:sz w:val="28"/>
          <w:szCs w:val="28"/>
        </w:rPr>
        <w:t xml:space="preserve"> финансовы</w:t>
      </w:r>
      <w:r w:rsidR="00967A3C">
        <w:rPr>
          <w:sz w:val="28"/>
          <w:szCs w:val="28"/>
        </w:rPr>
        <w:t>е</w:t>
      </w:r>
      <w:r>
        <w:rPr>
          <w:sz w:val="28"/>
          <w:szCs w:val="28"/>
        </w:rPr>
        <w:t xml:space="preserve"> инвестици</w:t>
      </w:r>
      <w:r w:rsidR="00967A3C">
        <w:rPr>
          <w:sz w:val="28"/>
          <w:szCs w:val="28"/>
        </w:rPr>
        <w:t>и переоцениваются при изменении периода окупаемости.</w:t>
      </w:r>
    </w:p>
    <w:p w:rsidR="00967A3C" w:rsidRDefault="00967A3C" w:rsidP="00967A3C">
      <w:pPr>
        <w:tabs>
          <w:tab w:val="left" w:pos="-5103"/>
        </w:tabs>
        <w:ind w:firstLine="709"/>
        <w:jc w:val="both"/>
        <w:rPr>
          <w:sz w:val="28"/>
          <w:szCs w:val="28"/>
        </w:rPr>
      </w:pPr>
      <w:r>
        <w:rPr>
          <w:sz w:val="28"/>
          <w:szCs w:val="28"/>
        </w:rPr>
        <w:t>Период окупаемости равен отношению исходных фиксированных активов к годовому притоку наличности за период возмещения. Изменение годового притока наличности в любой из моментов периода возмещения приводит к увеличению или сокращению периода окупаемости и соответственно стоимости финансовых инвестиций.</w:t>
      </w:r>
    </w:p>
    <w:p w:rsidR="00967A3C" w:rsidRDefault="00967A3C" w:rsidP="00967A3C">
      <w:pPr>
        <w:numPr>
          <w:ilvl w:val="0"/>
          <w:numId w:val="18"/>
        </w:numPr>
        <w:tabs>
          <w:tab w:val="left" w:pos="1134"/>
        </w:tabs>
        <w:ind w:left="0" w:firstLine="709"/>
        <w:jc w:val="both"/>
        <w:rPr>
          <w:sz w:val="28"/>
          <w:szCs w:val="28"/>
        </w:rPr>
      </w:pPr>
      <w:r w:rsidRPr="00E23B8D">
        <w:rPr>
          <w:b/>
          <w:sz w:val="28"/>
          <w:szCs w:val="28"/>
        </w:rPr>
        <w:t>Метод внутренней нормы дохода</w:t>
      </w:r>
      <w:r>
        <w:rPr>
          <w:sz w:val="28"/>
          <w:szCs w:val="28"/>
        </w:rPr>
        <w:t>. Использование методов внутренней нормы дохода чистой текущей стоимости основывается на концепции стоимости денег во времени: предпочтительно иметь деньги сегодня, чем завтра. Для того, чтобы определить сколько сегодня будут стоить деньги, полученные в будущем применяются определенные средства идентификации денежных потоков. К числу этих средств относится ставка дисконтирования – процентная ставка, используемая для определения текущей стоимости будущих денежных потоков.</w:t>
      </w:r>
    </w:p>
    <w:p w:rsidR="00967A3C" w:rsidRDefault="00967A3C" w:rsidP="00967A3C">
      <w:pPr>
        <w:tabs>
          <w:tab w:val="left" w:pos="-5103"/>
        </w:tabs>
        <w:ind w:firstLine="709"/>
        <w:jc w:val="both"/>
        <w:rPr>
          <w:sz w:val="28"/>
          <w:szCs w:val="28"/>
        </w:rPr>
      </w:pPr>
      <w:r w:rsidRPr="00E23B8D">
        <w:rPr>
          <w:i/>
          <w:sz w:val="28"/>
          <w:szCs w:val="28"/>
        </w:rPr>
        <w:t>Внутренняя норма дохода</w:t>
      </w:r>
      <w:r>
        <w:rPr>
          <w:sz w:val="28"/>
          <w:szCs w:val="28"/>
        </w:rPr>
        <w:t xml:space="preserve"> для инвестиционного проекта – есть ставка дисконтирования, благодаря которой уравниваются текущая стоимость ожидаемых денежных оттоков и текущая стоимость ожидаемых денежных притоков. Если стартовые затраты приходятся на время </w:t>
      </w:r>
      <w:r w:rsidRPr="00E23B8D">
        <w:rPr>
          <w:i/>
          <w:sz w:val="28"/>
          <w:szCs w:val="28"/>
        </w:rPr>
        <w:t>О</w:t>
      </w:r>
      <w:r>
        <w:rPr>
          <w:sz w:val="28"/>
          <w:szCs w:val="28"/>
        </w:rPr>
        <w:t xml:space="preserve">, то внутренняя норма дохода может быть представлена величиной </w:t>
      </w:r>
      <w:r w:rsidRPr="00E23B8D">
        <w:rPr>
          <w:i/>
          <w:sz w:val="28"/>
          <w:szCs w:val="28"/>
          <w:lang w:val="en-US"/>
        </w:rPr>
        <w:t>l</w:t>
      </w:r>
      <w:r>
        <w:rPr>
          <w:sz w:val="28"/>
          <w:szCs w:val="28"/>
        </w:rPr>
        <w:t>, которая определяется из формулы:</w:t>
      </w:r>
    </w:p>
    <w:p w:rsidR="00967A3C" w:rsidRPr="00967A3C" w:rsidRDefault="004B3B02" w:rsidP="00967A3C">
      <w:pPr>
        <w:tabs>
          <w:tab w:val="left" w:pos="-5103"/>
        </w:tabs>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0738&quot;/&gt;&lt;wsp:rsid wsp:val=&quot;00013C97&quot;/&gt;&lt;wsp:rsid wsp:val=&quot;0002084D&quot;/&gt;&lt;wsp:rsid wsp:val=&quot;000224C6&quot;/&gt;&lt;wsp:rsid wsp:val=&quot;000313F9&quot;/&gt;&lt;wsp:rsid wsp:val=&quot;00035AB4&quot;/&gt;&lt;wsp:rsid wsp:val=&quot;00043BBC&quot;/&gt;&lt;wsp:rsid wsp:val=&quot;00046E28&quot;/&gt;&lt;wsp:rsid wsp:val=&quot;000968D5&quot;/&gt;&lt;wsp:rsid wsp:val=&quot;000C499B&quot;/&gt;&lt;wsp:rsid wsp:val=&quot;000C701A&quot;/&gt;&lt;wsp:rsid wsp:val=&quot;000D7869&quot;/&gt;&lt;wsp:rsid wsp:val=&quot;000D7DDE&quot;/&gt;&lt;wsp:rsid wsp:val=&quot;000F47D1&quot;/&gt;&lt;wsp:rsid wsp:val=&quot;000F64D8&quot;/&gt;&lt;wsp:rsid wsp:val=&quot;00115981&quot;/&gt;&lt;wsp:rsid wsp:val=&quot;00130EC0&quot;/&gt;&lt;wsp:rsid wsp:val=&quot;00135433&quot;/&gt;&lt;wsp:rsid wsp:val=&quot;0016302F&quot;/&gt;&lt;wsp:rsid wsp:val=&quot;00172606&quot;/&gt;&lt;wsp:rsid wsp:val=&quot;00191C7F&quot;/&gt;&lt;wsp:rsid wsp:val=&quot;00193CBE&quot;/&gt;&lt;wsp:rsid wsp:val=&quot;001B3951&quot;/&gt;&lt;wsp:rsid wsp:val=&quot;001E53D5&quot;/&gt;&lt;wsp:rsid wsp:val=&quot;002E4277&quot;/&gt;&lt;wsp:rsid wsp:val=&quot;00313AFF&quot;/&gt;&lt;wsp:rsid wsp:val=&quot;00317445&quot;/&gt;&lt;wsp:rsid wsp:val=&quot;00317AAE&quot;/&gt;&lt;wsp:rsid wsp:val=&quot;003210A4&quot;/&gt;&lt;wsp:rsid wsp:val=&quot;0032318E&quot;/&gt;&lt;wsp:rsid wsp:val=&quot;00333B92&quot;/&gt;&lt;wsp:rsid wsp:val=&quot;00337C7D&quot;/&gt;&lt;wsp:rsid wsp:val=&quot;003621B2&quot;/&gt;&lt;wsp:rsid wsp:val=&quot;00386213&quot;/&gt;&lt;wsp:rsid wsp:val=&quot;0039278C&quot;/&gt;&lt;wsp:rsid wsp:val=&quot;003A28F7&quot;/&gt;&lt;wsp:rsid wsp:val=&quot;003B3027&quot;/&gt;&lt;wsp:rsid wsp:val=&quot;003E6D75&quot;/&gt;&lt;wsp:rsid wsp:val=&quot;003F5BB2&quot;/&gt;&lt;wsp:rsid wsp:val=&quot;00403EDE&quot;/&gt;&lt;wsp:rsid wsp:val=&quot;00411B7B&quot;/&gt;&lt;wsp:rsid wsp:val=&quot;00415509&quot;/&gt;&lt;wsp:rsid wsp:val=&quot;0042362F&quot;/&gt;&lt;wsp:rsid wsp:val=&quot;00475F62&quot;/&gt;&lt;wsp:rsid wsp:val=&quot;00490CAC&quot;/&gt;&lt;wsp:rsid wsp:val=&quot;004B4A20&quot;/&gt;&lt;wsp:rsid wsp:val=&quot;004E77F4&quot;/&gt;&lt;wsp:rsid wsp:val=&quot;004F093C&quot;/&gt;&lt;wsp:rsid wsp:val=&quot;004F630D&quot;/&gt;&lt;wsp:rsid wsp:val=&quot;004F7CB7&quot;/&gt;&lt;wsp:rsid wsp:val=&quot;00521040&quot;/&gt;&lt;wsp:rsid wsp:val=&quot;005219EB&quot;/&gt;&lt;wsp:rsid wsp:val=&quot;0056755D&quot;/&gt;&lt;wsp:rsid wsp:val=&quot;0057533D&quot;/&gt;&lt;wsp:rsid wsp:val=&quot;005A3EFE&quot;/&gt;&lt;wsp:rsid wsp:val=&quot;005B0556&quot;/&gt;&lt;wsp:rsid wsp:val=&quot;005B06D4&quot;/&gt;&lt;wsp:rsid wsp:val=&quot;005D3A56&quot;/&gt;&lt;wsp:rsid wsp:val=&quot;00604F8E&quot;/&gt;&lt;wsp:rsid wsp:val=&quot;006335BC&quot;/&gt;&lt;wsp:rsid wsp:val=&quot;00660A03&quot;/&gt;&lt;wsp:rsid wsp:val=&quot;00667FC9&quot;/&gt;&lt;wsp:rsid wsp:val=&quot;006B1CFD&quot;/&gt;&lt;wsp:rsid wsp:val=&quot;006C3889&quot;/&gt;&lt;wsp:rsid wsp:val=&quot;006E1E2C&quot;/&gt;&lt;wsp:rsid wsp:val=&quot;00716F43&quot;/&gt;&lt;wsp:rsid wsp:val=&quot;0071716C&quot;/&gt;&lt;wsp:rsid wsp:val=&quot;00723182&quot;/&gt;&lt;wsp:rsid wsp:val=&quot;00725F93&quot;/&gt;&lt;wsp:rsid wsp:val=&quot;007501FE&quot;/&gt;&lt;wsp:rsid wsp:val=&quot;007753DD&quot;/&gt;&lt;wsp:rsid wsp:val=&quot;00784CF2&quot;/&gt;&lt;wsp:rsid wsp:val=&quot;007A4625&quot;/&gt;&lt;wsp:rsid wsp:val=&quot;007D1ABE&quot;/&gt;&lt;wsp:rsid wsp:val=&quot;007E7D5C&quot;/&gt;&lt;wsp:rsid wsp:val=&quot;00802241&quot;/&gt;&lt;wsp:rsid wsp:val=&quot;008050C2&quot;/&gt;&lt;wsp:rsid wsp:val=&quot;00812788&quot;/&gt;&lt;wsp:rsid wsp:val=&quot;008200E7&quot;/&gt;&lt;wsp:rsid wsp:val=&quot;00830E0F&quot;/&gt;&lt;wsp:rsid wsp:val=&quot;00856782&quot;/&gt;&lt;wsp:rsid wsp:val=&quot;008700F5&quot;/&gt;&lt;wsp:rsid wsp:val=&quot;008D22D4&quot;/&gt;&lt;wsp:rsid wsp:val=&quot;008D3C54&quot;/&gt;&lt;wsp:rsid wsp:val=&quot;008E2BA4&quot;/&gt;&lt;wsp:rsid wsp:val=&quot;009102A0&quot;/&gt;&lt;wsp:rsid wsp:val=&quot;0091367B&quot;/&gt;&lt;wsp:rsid wsp:val=&quot;009257A4&quot;/&gt;&lt;wsp:rsid wsp:val=&quot;009322FA&quot;/&gt;&lt;wsp:rsid wsp:val=&quot;00940F22&quot;/&gt;&lt;wsp:rsid wsp:val=&quot;00967A3C&quot;/&gt;&lt;wsp:rsid wsp:val=&quot;00972791&quot;/&gt;&lt;wsp:rsid wsp:val=&quot;00987BE4&quot;/&gt;&lt;wsp:rsid wsp:val=&quot;00993BE4&quot;/&gt;&lt;wsp:rsid wsp:val=&quot;009A0246&quot;/&gt;&lt;wsp:rsid wsp:val=&quot;009E2C67&quot;/&gt;&lt;wsp:rsid wsp:val=&quot;00A164DB&quot;/&gt;&lt;wsp:rsid wsp:val=&quot;00A166AA&quot;/&gt;&lt;wsp:rsid wsp:val=&quot;00A16FCC&quot;/&gt;&lt;wsp:rsid wsp:val=&quot;00A20119&quot;/&gt;&lt;wsp:rsid wsp:val=&quot;00A30D8E&quot;/&gt;&lt;wsp:rsid wsp:val=&quot;00A377ED&quot;/&gt;&lt;wsp:rsid wsp:val=&quot;00A600E4&quot;/&gt;&lt;wsp:rsid wsp:val=&quot;00A6317D&quot;/&gt;&lt;wsp:rsid wsp:val=&quot;00A725B2&quot;/&gt;&lt;wsp:rsid wsp:val=&quot;00A81281&quot;/&gt;&lt;wsp:rsid wsp:val=&quot;00A94B1A&quot;/&gt;&lt;wsp:rsid wsp:val=&quot;00AB37B5&quot;/&gt;&lt;wsp:rsid wsp:val=&quot;00B00DA2&quot;/&gt;&lt;wsp:rsid wsp:val=&quot;00B21E6A&quot;/&gt;&lt;wsp:rsid wsp:val=&quot;00B45231&quot;/&gt;&lt;wsp:rsid wsp:val=&quot;00B61DB5&quot;/&gt;&lt;wsp:rsid wsp:val=&quot;00B64997&quot;/&gt;&lt;wsp:rsid wsp:val=&quot;00B7387A&quot;/&gt;&lt;wsp:rsid wsp:val=&quot;00B77F54&quot;/&gt;&lt;wsp:rsid wsp:val=&quot;00BC42D8&quot;/&gt;&lt;wsp:rsid wsp:val=&quot;00BD1AB0&quot;/&gt;&lt;wsp:rsid wsp:val=&quot;00BE514A&quot;/&gt;&lt;wsp:rsid wsp:val=&quot;00C20B96&quot;/&gt;&lt;wsp:rsid wsp:val=&quot;00C3115D&quot;/&gt;&lt;wsp:rsid wsp:val=&quot;00C6043D&quot;/&gt;&lt;wsp:rsid wsp:val=&quot;00C62FBC&quot;/&gt;&lt;wsp:rsid wsp:val=&quot;00C72C5E&quot;/&gt;&lt;wsp:rsid wsp:val=&quot;00C7570F&quot;/&gt;&lt;wsp:rsid wsp:val=&quot;00CD2800&quot;/&gt;&lt;wsp:rsid wsp:val=&quot;00CD6AFA&quot;/&gt;&lt;wsp:rsid wsp:val=&quot;00CE54EF&quot;/&gt;&lt;wsp:rsid wsp:val=&quot;00D05494&quot;/&gt;&lt;wsp:rsid wsp:val=&quot;00D116E7&quot;/&gt;&lt;wsp:rsid wsp:val=&quot;00D21673&quot;/&gt;&lt;wsp:rsid wsp:val=&quot;00D7579D&quot;/&gt;&lt;wsp:rsid wsp:val=&quot;00D86189&quot;/&gt;&lt;wsp:rsid wsp:val=&quot;00D87EDA&quot;/&gt;&lt;wsp:rsid wsp:val=&quot;00DA4E4A&quot;/&gt;&lt;wsp:rsid wsp:val=&quot;00E0088B&quot;/&gt;&lt;wsp:rsid wsp:val=&quot;00E12933&quot;/&gt;&lt;wsp:rsid wsp:val=&quot;00E16212&quot;/&gt;&lt;wsp:rsid wsp:val=&quot;00E174FF&quot;/&gt;&lt;wsp:rsid wsp:val=&quot;00E23B8D&quot;/&gt;&lt;wsp:rsid wsp:val=&quot;00E52ECB&quot;/&gt;&lt;wsp:rsid wsp:val=&quot;00E67AEB&quot;/&gt;&lt;wsp:rsid wsp:val=&quot;00E67E11&quot;/&gt;&lt;wsp:rsid wsp:val=&quot;00E70674&quot;/&gt;&lt;wsp:rsid wsp:val=&quot;00E77299&quot;/&gt;&lt;wsp:rsid wsp:val=&quot;00E90338&quot;/&gt;&lt;wsp:rsid wsp:val=&quot;00E906DC&quot;/&gt;&lt;wsp:rsid wsp:val=&quot;00EA0B29&quot;/&gt;&lt;wsp:rsid wsp:val=&quot;00EB4418&quot;/&gt;&lt;wsp:rsid wsp:val=&quot;00F27C66&quot;/&gt;&lt;wsp:rsid wsp:val=&quot;00F33D16&quot;/&gt;&lt;wsp:rsid wsp:val=&quot;00F64B61&quot;/&gt;&lt;wsp:rsid wsp:val=&quot;00F751F7&quot;/&gt;&lt;wsp:rsid wsp:val=&quot;00F80738&quot;/&gt;&lt;wsp:rsid wsp:val=&quot;00F86457&quot;/&gt;&lt;wsp:rsid wsp:val=&quot;00FB2C2C&quot;/&gt;&lt;wsp:rsid wsp:val=&quot;00FE5FE6&quot;/&gt;&lt;wsp:rsid wsp:val=&quot;00FF69B8&quot;/&gt;&lt;/wsp:rsids&gt;&lt;/w:docPr&gt;&lt;w:body&gt;&lt;w:p wsp:rsidR=&quot;00000000&quot; wsp:rsidRDefault=&quot;0016302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1&lt;/m:t&gt;&lt;/m:r&gt;&lt;/m:sub&gt;&lt;/m:sSub&gt;&lt;/m:num&gt;&lt;m:den&gt;&lt;m:r&gt;&lt;w:rPr&gt;&lt;w:rFonts w:ascii=&quot;Cambria Math&quot; w:h-ansi=&quot;Cambria Math&quot;/&gt;&lt;wx:font wx:val=&quot;Cambria Math&quot;/&gt;&lt;w:i/&gt;&lt;w:sz w:val=&quot;28&quot;/&gt;&lt;w:sz-cs w:val=&quot;28&quot;/&gt;&lt;/w:rPr&gt;&lt;m:t&gt;(1+l)&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2&lt;/m:t&gt;&lt;/m:r&gt;&lt;/m:sub&gt;&lt;/m:sSub&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l)&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вЂ¦+&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n&lt;/m:t&gt;&lt;/m:r&gt;&lt;/m:sub&gt;&lt;/m:sSub&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l)&lt;/m:t&gt;&lt;/m:r&gt;&lt;/m:e&gt;&lt;m:sup&gt;&lt;m:r&gt;&lt;w:rPr&gt;&lt;w:rFonts w:ascii=&quot;Cambria Math&quot; w:h-ansi=&quot;Cambria Math&quot;/&gt;&lt;wx:font wx:val=&quot;Cambria Math&quot;/&gt;&lt;w:i/&gt;&lt;w:sz w:val=&quot;28&quot;/&gt;&lt;w:sz-cs w:val=&quot;28&quot;/&gt;&lt;/w:rPr&gt;&lt;m:t&gt;n&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5F62" w:rsidRDefault="00475F62" w:rsidP="00F86457">
      <w:pPr>
        <w:ind w:firstLine="709"/>
        <w:jc w:val="both"/>
        <w:rPr>
          <w:sz w:val="28"/>
          <w:szCs w:val="28"/>
        </w:rPr>
      </w:pPr>
    </w:p>
    <w:p w:rsidR="00475F62" w:rsidRDefault="000224C6" w:rsidP="00F86457">
      <w:pPr>
        <w:ind w:firstLine="709"/>
        <w:jc w:val="both"/>
        <w:rPr>
          <w:sz w:val="28"/>
          <w:szCs w:val="28"/>
        </w:rPr>
      </w:pPr>
      <w:r>
        <w:rPr>
          <w:sz w:val="28"/>
          <w:szCs w:val="28"/>
        </w:rPr>
        <w:t xml:space="preserve">Таким образом, </w:t>
      </w:r>
      <w:r w:rsidRPr="00E23B8D">
        <w:rPr>
          <w:i/>
          <w:sz w:val="28"/>
          <w:szCs w:val="28"/>
          <w:lang w:val="en-US"/>
        </w:rPr>
        <w:t>l</w:t>
      </w:r>
      <w:r>
        <w:rPr>
          <w:sz w:val="28"/>
          <w:szCs w:val="28"/>
        </w:rPr>
        <w:t xml:space="preserve"> – это ставка дисконтирования величины будущих денежных потоков от </w:t>
      </w:r>
      <w:r w:rsidR="00E23B8D" w:rsidRPr="00E23B8D">
        <w:rPr>
          <w:i/>
          <w:sz w:val="28"/>
          <w:szCs w:val="28"/>
        </w:rPr>
        <w:t>х</w:t>
      </w:r>
      <w:r w:rsidR="00E23B8D" w:rsidRPr="00E23B8D">
        <w:rPr>
          <w:i/>
          <w:sz w:val="28"/>
          <w:szCs w:val="28"/>
          <w:vertAlign w:val="subscript"/>
        </w:rPr>
        <w:t>1</w:t>
      </w:r>
      <w:r w:rsidR="00E23B8D">
        <w:rPr>
          <w:sz w:val="28"/>
          <w:szCs w:val="28"/>
        </w:rPr>
        <w:t xml:space="preserve"> до </w:t>
      </w:r>
      <w:r w:rsidR="00E23B8D" w:rsidRPr="00E23B8D">
        <w:rPr>
          <w:i/>
          <w:sz w:val="28"/>
          <w:szCs w:val="28"/>
        </w:rPr>
        <w:t>х</w:t>
      </w:r>
      <w:r w:rsidR="00E23B8D" w:rsidRPr="00E23B8D">
        <w:rPr>
          <w:i/>
          <w:sz w:val="28"/>
          <w:szCs w:val="28"/>
          <w:vertAlign w:val="subscript"/>
        </w:rPr>
        <w:t>2</w:t>
      </w:r>
      <w:r w:rsidR="00E23B8D">
        <w:rPr>
          <w:sz w:val="28"/>
          <w:szCs w:val="28"/>
        </w:rPr>
        <w:t xml:space="preserve">, чтобы можно было приравнять их к текущей стоимости стартовых затрат во время </w:t>
      </w:r>
      <w:r w:rsidR="00E23B8D" w:rsidRPr="00E23B8D">
        <w:rPr>
          <w:i/>
          <w:sz w:val="28"/>
          <w:szCs w:val="28"/>
        </w:rPr>
        <w:t>О = х</w:t>
      </w:r>
      <w:r w:rsidR="00E23B8D" w:rsidRPr="00E23B8D">
        <w:rPr>
          <w:i/>
          <w:sz w:val="28"/>
          <w:szCs w:val="28"/>
          <w:vertAlign w:val="subscript"/>
        </w:rPr>
        <w:t>0</w:t>
      </w:r>
      <w:r w:rsidR="00E23B8D" w:rsidRPr="00E23B8D">
        <w:rPr>
          <w:sz w:val="28"/>
          <w:szCs w:val="28"/>
        </w:rPr>
        <w:t>.</w:t>
      </w:r>
    </w:p>
    <w:p w:rsidR="00E23B8D" w:rsidRDefault="00E23B8D" w:rsidP="00F86457">
      <w:pPr>
        <w:ind w:firstLine="709"/>
        <w:jc w:val="both"/>
        <w:rPr>
          <w:sz w:val="28"/>
          <w:szCs w:val="28"/>
        </w:rPr>
      </w:pPr>
      <w:r>
        <w:rPr>
          <w:sz w:val="28"/>
          <w:szCs w:val="28"/>
        </w:rPr>
        <w:t>При осуществлении инвестиционных вложений инвестором обычно просчитывается необходимая норма внутреннего дохода. Если в период владения инвестициями внутренняя норма дохода превысила необходимую, то это должно привести к переоценке долгосрочных финансовых инвестиций, поскольку проект становится более рентабельным, и наоборот, если проект становится менее рентабельным.</w:t>
      </w:r>
    </w:p>
    <w:p w:rsidR="00E23B8D" w:rsidRDefault="00E23B8D" w:rsidP="00E23B8D">
      <w:pPr>
        <w:numPr>
          <w:ilvl w:val="0"/>
          <w:numId w:val="18"/>
        </w:numPr>
        <w:tabs>
          <w:tab w:val="left" w:pos="1134"/>
        </w:tabs>
        <w:ind w:left="0" w:firstLine="709"/>
        <w:jc w:val="both"/>
        <w:rPr>
          <w:sz w:val="28"/>
          <w:szCs w:val="28"/>
        </w:rPr>
      </w:pPr>
      <w:r>
        <w:rPr>
          <w:sz w:val="28"/>
          <w:szCs w:val="28"/>
        </w:rPr>
        <w:t>Метод текущей стоимости. Как и метод внутренней нормы дохода, метод текущей стоимости – это метод дисконтирования денежных потоков с целью определения эффективности долгосрочных инвестиций. Чистая текущая стоимость равна текущей стоимости притоков денежных средств минус текущая стоимость оттоков денежных средств. Чистая текущая стоимость инвестиционного проекта равна:</w:t>
      </w:r>
    </w:p>
    <w:p w:rsidR="00E23B8D" w:rsidRPr="00E23B8D" w:rsidRDefault="004B3B02" w:rsidP="00E23B8D">
      <w:pPr>
        <w:pStyle w:val="aa"/>
        <w:tabs>
          <w:tab w:val="left" w:pos="-5103"/>
        </w:tabs>
        <w:ind w:left="0" w:firstLine="709"/>
        <w:jc w:val="both"/>
        <w:rPr>
          <w:sz w:val="28"/>
          <w:szCs w:val="28"/>
        </w:rPr>
      </w:pPr>
      <w:r>
        <w:pict>
          <v:shape id="_x0000_i1026" type="#_x0000_t75" style="width:274.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0738&quot;/&gt;&lt;wsp:rsid wsp:val=&quot;00013C97&quot;/&gt;&lt;wsp:rsid wsp:val=&quot;0002084D&quot;/&gt;&lt;wsp:rsid wsp:val=&quot;000224C6&quot;/&gt;&lt;wsp:rsid wsp:val=&quot;000313F9&quot;/&gt;&lt;wsp:rsid wsp:val=&quot;00035AB4&quot;/&gt;&lt;wsp:rsid wsp:val=&quot;00043BBC&quot;/&gt;&lt;wsp:rsid wsp:val=&quot;00046E28&quot;/&gt;&lt;wsp:rsid wsp:val=&quot;000968D5&quot;/&gt;&lt;wsp:rsid wsp:val=&quot;000C499B&quot;/&gt;&lt;wsp:rsid wsp:val=&quot;000C701A&quot;/&gt;&lt;wsp:rsid wsp:val=&quot;000D7869&quot;/&gt;&lt;wsp:rsid wsp:val=&quot;000D7DDE&quot;/&gt;&lt;wsp:rsid wsp:val=&quot;000F47D1&quot;/&gt;&lt;wsp:rsid wsp:val=&quot;000F64D8&quot;/&gt;&lt;wsp:rsid wsp:val=&quot;00115981&quot;/&gt;&lt;wsp:rsid wsp:val=&quot;00130EC0&quot;/&gt;&lt;wsp:rsid wsp:val=&quot;00135433&quot;/&gt;&lt;wsp:rsid wsp:val=&quot;00172606&quot;/&gt;&lt;wsp:rsid wsp:val=&quot;00191C7F&quot;/&gt;&lt;wsp:rsid wsp:val=&quot;00193CBE&quot;/&gt;&lt;wsp:rsid wsp:val=&quot;001B3951&quot;/&gt;&lt;wsp:rsid wsp:val=&quot;001E53D5&quot;/&gt;&lt;wsp:rsid wsp:val=&quot;002E4277&quot;/&gt;&lt;wsp:rsid wsp:val=&quot;00313AFF&quot;/&gt;&lt;wsp:rsid wsp:val=&quot;00317445&quot;/&gt;&lt;wsp:rsid wsp:val=&quot;00317AAE&quot;/&gt;&lt;wsp:rsid wsp:val=&quot;003210A4&quot;/&gt;&lt;wsp:rsid wsp:val=&quot;0032318E&quot;/&gt;&lt;wsp:rsid wsp:val=&quot;00333B92&quot;/&gt;&lt;wsp:rsid wsp:val=&quot;00337C7D&quot;/&gt;&lt;wsp:rsid wsp:val=&quot;003621B2&quot;/&gt;&lt;wsp:rsid wsp:val=&quot;00386213&quot;/&gt;&lt;wsp:rsid wsp:val=&quot;0039278C&quot;/&gt;&lt;wsp:rsid wsp:val=&quot;003A28F7&quot;/&gt;&lt;wsp:rsid wsp:val=&quot;003B3027&quot;/&gt;&lt;wsp:rsid wsp:val=&quot;003E6D75&quot;/&gt;&lt;wsp:rsid wsp:val=&quot;003F5BB2&quot;/&gt;&lt;wsp:rsid wsp:val=&quot;00403EDE&quot;/&gt;&lt;wsp:rsid wsp:val=&quot;00411B7B&quot;/&gt;&lt;wsp:rsid wsp:val=&quot;00415509&quot;/&gt;&lt;wsp:rsid wsp:val=&quot;0042362F&quot;/&gt;&lt;wsp:rsid wsp:val=&quot;00475F62&quot;/&gt;&lt;wsp:rsid wsp:val=&quot;00490CAC&quot;/&gt;&lt;wsp:rsid wsp:val=&quot;004B4A20&quot;/&gt;&lt;wsp:rsid wsp:val=&quot;004E77F4&quot;/&gt;&lt;wsp:rsid wsp:val=&quot;004F093C&quot;/&gt;&lt;wsp:rsid wsp:val=&quot;004F630D&quot;/&gt;&lt;wsp:rsid wsp:val=&quot;004F7CB7&quot;/&gt;&lt;wsp:rsid wsp:val=&quot;00521040&quot;/&gt;&lt;wsp:rsid wsp:val=&quot;005219EB&quot;/&gt;&lt;wsp:rsid wsp:val=&quot;0056755D&quot;/&gt;&lt;wsp:rsid wsp:val=&quot;0057533D&quot;/&gt;&lt;wsp:rsid wsp:val=&quot;005A3EFE&quot;/&gt;&lt;wsp:rsid wsp:val=&quot;005B0556&quot;/&gt;&lt;wsp:rsid wsp:val=&quot;005B06D4&quot;/&gt;&lt;wsp:rsid wsp:val=&quot;005D3A56&quot;/&gt;&lt;wsp:rsid wsp:val=&quot;00604F8E&quot;/&gt;&lt;wsp:rsid wsp:val=&quot;006335BC&quot;/&gt;&lt;wsp:rsid wsp:val=&quot;00660A03&quot;/&gt;&lt;wsp:rsid wsp:val=&quot;00667FC9&quot;/&gt;&lt;wsp:rsid wsp:val=&quot;006B1CFD&quot;/&gt;&lt;wsp:rsid wsp:val=&quot;006C3889&quot;/&gt;&lt;wsp:rsid wsp:val=&quot;006E1E2C&quot;/&gt;&lt;wsp:rsid wsp:val=&quot;00716F43&quot;/&gt;&lt;wsp:rsid wsp:val=&quot;0071716C&quot;/&gt;&lt;wsp:rsid wsp:val=&quot;00723182&quot;/&gt;&lt;wsp:rsid wsp:val=&quot;00725F93&quot;/&gt;&lt;wsp:rsid wsp:val=&quot;007501FE&quot;/&gt;&lt;wsp:rsid wsp:val=&quot;007753DD&quot;/&gt;&lt;wsp:rsid wsp:val=&quot;00784CF2&quot;/&gt;&lt;wsp:rsid wsp:val=&quot;007A4625&quot;/&gt;&lt;wsp:rsid wsp:val=&quot;007D1ABE&quot;/&gt;&lt;wsp:rsid wsp:val=&quot;007E7D5C&quot;/&gt;&lt;wsp:rsid wsp:val=&quot;00802241&quot;/&gt;&lt;wsp:rsid wsp:val=&quot;008050C2&quot;/&gt;&lt;wsp:rsid wsp:val=&quot;00812788&quot;/&gt;&lt;wsp:rsid wsp:val=&quot;008200E7&quot;/&gt;&lt;wsp:rsid wsp:val=&quot;00830E0F&quot;/&gt;&lt;wsp:rsid wsp:val=&quot;00856782&quot;/&gt;&lt;wsp:rsid wsp:val=&quot;008700F5&quot;/&gt;&lt;wsp:rsid wsp:val=&quot;008D22D4&quot;/&gt;&lt;wsp:rsid wsp:val=&quot;008D3C54&quot;/&gt;&lt;wsp:rsid wsp:val=&quot;008E2BA4&quot;/&gt;&lt;wsp:rsid wsp:val=&quot;009102A0&quot;/&gt;&lt;wsp:rsid wsp:val=&quot;0091367B&quot;/&gt;&lt;wsp:rsid wsp:val=&quot;009257A4&quot;/&gt;&lt;wsp:rsid wsp:val=&quot;009322FA&quot;/&gt;&lt;wsp:rsid wsp:val=&quot;00940F22&quot;/&gt;&lt;wsp:rsid wsp:val=&quot;00967A3C&quot;/&gt;&lt;wsp:rsid wsp:val=&quot;00972791&quot;/&gt;&lt;wsp:rsid wsp:val=&quot;00987BE4&quot;/&gt;&lt;wsp:rsid wsp:val=&quot;00993BE4&quot;/&gt;&lt;wsp:rsid wsp:val=&quot;009A0246&quot;/&gt;&lt;wsp:rsid wsp:val=&quot;009E2C67&quot;/&gt;&lt;wsp:rsid wsp:val=&quot;00A164DB&quot;/&gt;&lt;wsp:rsid wsp:val=&quot;00A166AA&quot;/&gt;&lt;wsp:rsid wsp:val=&quot;00A16FCC&quot;/&gt;&lt;wsp:rsid wsp:val=&quot;00A20119&quot;/&gt;&lt;wsp:rsid wsp:val=&quot;00A30D8E&quot;/&gt;&lt;wsp:rsid wsp:val=&quot;00A377ED&quot;/&gt;&lt;wsp:rsid wsp:val=&quot;00A600E4&quot;/&gt;&lt;wsp:rsid wsp:val=&quot;00A6317D&quot;/&gt;&lt;wsp:rsid wsp:val=&quot;00A725B2&quot;/&gt;&lt;wsp:rsid wsp:val=&quot;00A81281&quot;/&gt;&lt;wsp:rsid wsp:val=&quot;00A94B1A&quot;/&gt;&lt;wsp:rsid wsp:val=&quot;00AB37B5&quot;/&gt;&lt;wsp:rsid wsp:val=&quot;00B00DA2&quot;/&gt;&lt;wsp:rsid wsp:val=&quot;00B21E6A&quot;/&gt;&lt;wsp:rsid wsp:val=&quot;00B45231&quot;/&gt;&lt;wsp:rsid wsp:val=&quot;00B61DB5&quot;/&gt;&lt;wsp:rsid wsp:val=&quot;00B64997&quot;/&gt;&lt;wsp:rsid wsp:val=&quot;00B7387A&quot;/&gt;&lt;wsp:rsid wsp:val=&quot;00B77F54&quot;/&gt;&lt;wsp:rsid wsp:val=&quot;00BC42D8&quot;/&gt;&lt;wsp:rsid wsp:val=&quot;00BD1AB0&quot;/&gt;&lt;wsp:rsid wsp:val=&quot;00BE514A&quot;/&gt;&lt;wsp:rsid wsp:val=&quot;00C20B96&quot;/&gt;&lt;wsp:rsid wsp:val=&quot;00C3115D&quot;/&gt;&lt;wsp:rsid wsp:val=&quot;00C6043D&quot;/&gt;&lt;wsp:rsid wsp:val=&quot;00C62FBC&quot;/&gt;&lt;wsp:rsid wsp:val=&quot;00C67AD5&quot;/&gt;&lt;wsp:rsid wsp:val=&quot;00C72C5E&quot;/&gt;&lt;wsp:rsid wsp:val=&quot;00C7570F&quot;/&gt;&lt;wsp:rsid wsp:val=&quot;00CD2800&quot;/&gt;&lt;wsp:rsid wsp:val=&quot;00CD6AFA&quot;/&gt;&lt;wsp:rsid wsp:val=&quot;00CE54EF&quot;/&gt;&lt;wsp:rsid wsp:val=&quot;00D05494&quot;/&gt;&lt;wsp:rsid wsp:val=&quot;00D116E7&quot;/&gt;&lt;wsp:rsid wsp:val=&quot;00D21673&quot;/&gt;&lt;wsp:rsid wsp:val=&quot;00D7579D&quot;/&gt;&lt;wsp:rsid wsp:val=&quot;00D86189&quot;/&gt;&lt;wsp:rsid wsp:val=&quot;00D87EDA&quot;/&gt;&lt;wsp:rsid wsp:val=&quot;00DA4E4A&quot;/&gt;&lt;wsp:rsid wsp:val=&quot;00E0088B&quot;/&gt;&lt;wsp:rsid wsp:val=&quot;00E12933&quot;/&gt;&lt;wsp:rsid wsp:val=&quot;00E16212&quot;/&gt;&lt;wsp:rsid wsp:val=&quot;00E174FF&quot;/&gt;&lt;wsp:rsid wsp:val=&quot;00E23B8D&quot;/&gt;&lt;wsp:rsid wsp:val=&quot;00E52ECB&quot;/&gt;&lt;wsp:rsid wsp:val=&quot;00E67AEB&quot;/&gt;&lt;wsp:rsid wsp:val=&quot;00E67E11&quot;/&gt;&lt;wsp:rsid wsp:val=&quot;00E70674&quot;/&gt;&lt;wsp:rsid wsp:val=&quot;00E77299&quot;/&gt;&lt;wsp:rsid wsp:val=&quot;00E90338&quot;/&gt;&lt;wsp:rsid wsp:val=&quot;00E906DC&quot;/&gt;&lt;wsp:rsid wsp:val=&quot;00EA0B29&quot;/&gt;&lt;wsp:rsid wsp:val=&quot;00EB4418&quot;/&gt;&lt;wsp:rsid wsp:val=&quot;00F27C66&quot;/&gt;&lt;wsp:rsid wsp:val=&quot;00F33D16&quot;/&gt;&lt;wsp:rsid wsp:val=&quot;00F64B61&quot;/&gt;&lt;wsp:rsid wsp:val=&quot;00F751F7&quot;/&gt;&lt;wsp:rsid wsp:val=&quot;00F80738&quot;/&gt;&lt;wsp:rsid wsp:val=&quot;00F86457&quot;/&gt;&lt;wsp:rsid wsp:val=&quot;00FB2C2C&quot;/&gt;&lt;wsp:rsid wsp:val=&quot;00FE5FE6&quot;/&gt;&lt;wsp:rsid wsp:val=&quot;00FF69B8&quot;/&gt;&lt;/wsp:rsids&gt;&lt;/w:docPr&gt;&lt;w:body&gt;&lt;w:p wsp:rsidR=&quot;00000000&quot; wsp:rsidRDefault=&quot;00C67AD5&quot;&gt;&lt;m:oMathPara&gt;&lt;m:oMath&gt;&lt;m:r&gt;&lt;w:rPr&gt;&lt;w:rFonts w:ascii=&quot;Cambria Math&quot; w:h-ansi=&quot;Cambria Math&quot;/&gt;&lt;wx:font wx:val=&quot;Cambria Math&quot;/&gt;&lt;w:i/&gt;&lt;w:sz w:val=&quot;28&quot;/&gt;&lt;w:sz-cs w:val=&quot;28&quot;/&gt;&lt;/w:rPr&gt;&lt;m:t&gt;NPV=&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1&lt;/m:t&gt;&lt;/m:r&gt;&lt;/m:sub&gt;&lt;/m:sSub&gt;&lt;/m:num&gt;&lt;m:den&gt;&lt;m:r&gt;&lt;w:rPr&gt;&lt;w:rFonts w:ascii=&quot;Cambria Math&quot; w:h-ansi=&quot;Cambria Math&quot;/&gt;&lt;wx:font wx:val=&quot;Cambria Math&quot;/&gt;&lt;w:i/&gt;&lt;w:sz w:val=&quot;28&quot;/&gt;&lt;w:sz-cs w:val=&quot;28&quot;/&gt;&lt;/w:rPr&gt;&lt;m:t&gt;(1+l)&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2&lt;/m:t&gt;&lt;/m:r&gt;&lt;/m:sub&gt;&lt;/m:sSub&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l)&lt;/m:t&gt;&lt;/m:r&gt;&lt;/m:e&gt;&lt;m:sup&gt;&lt;m:r&gt;&lt;w:rPr&gt;&lt;w:rFonts w:ascii=&quot;Cambria Math&quot; w:h-ansi=&quot;Cambria Math&quot;/&gt;&lt;wx:font wx:val=&quot;Cambria Math&quot;/&gt;&lt;w:i/&gt;&lt;w:sz w:val=&quot;28&quot;/&gt;&lt;w:sz-cs w:val=&quot;28&quot;/&gt;&lt;/w:rPr&gt;&lt;m:t&gt;2&lt;/m:t&gt;&lt;/m:r&gt;&lt;/m:sup&gt;&lt;/m:sSup&gt;&lt;/m:den&gt;&lt;/m:f&gt;&lt;m:r&gt;&lt;w:rPr&gt;&lt;w:rFonts w:ascii=&quot;Cambria Math&quot; w:h-ansi=&quot;Cambria Math&quot;/&gt;&lt;wx:font wx:val=&quot;Cambria Math&quot;/&gt;&lt;w:i/&gt;&lt;w:sz w:val=&quot;28&quot;/&gt;&lt;w:sz-cs w:val=&quot;28&quot;/&gt;&lt;/w:rPr&gt;&lt;m:t&gt;+вЂ¦+&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n&lt;/m:t&gt;&lt;/m:r&gt;&lt;/m:sub&gt;&lt;/m:sSub&gt;&lt;/m:num&gt;&lt;m:den&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l)&lt;/m:t&gt;&lt;/m:r&gt;&lt;/m:e&gt;&lt;m:sup&gt;&lt;m:r&gt;&lt;w:rPr&gt;&lt;w:rFonts w:ascii=&quot;Cambria Math&quot; w:h-ansi=&quot;Cambria Math&quot;/&gt;&lt;wx:font wx:val=&quot;Cambria Math&quot;/&gt;&lt;w:i/&gt;&lt;w:sz w:val=&quot;28&quot;/&gt;&lt;w:sz-cs w:val=&quot;28&quot;/&gt;&lt;/w:rPr&gt;&lt;m:t&gt;n&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E23B8D" w:rsidRPr="00E23B8D" w:rsidRDefault="00E23B8D" w:rsidP="00E23B8D">
      <w:pPr>
        <w:ind w:firstLine="709"/>
        <w:jc w:val="both"/>
        <w:rPr>
          <w:sz w:val="28"/>
          <w:szCs w:val="28"/>
        </w:rPr>
      </w:pPr>
    </w:p>
    <w:p w:rsidR="00475F62" w:rsidRDefault="00E23B8D" w:rsidP="00F86457">
      <w:pPr>
        <w:ind w:firstLine="709"/>
        <w:jc w:val="both"/>
        <w:rPr>
          <w:sz w:val="28"/>
          <w:szCs w:val="28"/>
        </w:rPr>
      </w:pPr>
      <w:r>
        <w:rPr>
          <w:sz w:val="28"/>
          <w:szCs w:val="28"/>
        </w:rPr>
        <w:t xml:space="preserve">где </w:t>
      </w:r>
      <w:r w:rsidRPr="00E23B8D">
        <w:rPr>
          <w:i/>
          <w:sz w:val="28"/>
          <w:szCs w:val="28"/>
          <w:lang w:val="en-US"/>
        </w:rPr>
        <w:t>l</w:t>
      </w:r>
      <w:r>
        <w:rPr>
          <w:sz w:val="28"/>
          <w:szCs w:val="28"/>
        </w:rPr>
        <w:t xml:space="preserve"> – необходимая норма дохода.</w:t>
      </w:r>
    </w:p>
    <w:p w:rsidR="00667FC9" w:rsidRDefault="00667FC9" w:rsidP="00F86457">
      <w:pPr>
        <w:ind w:firstLine="709"/>
        <w:jc w:val="both"/>
        <w:rPr>
          <w:sz w:val="28"/>
          <w:szCs w:val="28"/>
        </w:rPr>
      </w:pPr>
      <w:r>
        <w:rPr>
          <w:sz w:val="28"/>
          <w:szCs w:val="28"/>
        </w:rPr>
        <w:t>Если необходимая норма дохода равна величине дохода, который инвесторы ожидают получить от инвестиционного проекта, и предприятие принимает этот проект с чистой реальной стоимостью, отличной от нуля, стоимость долгосрочных финансовых инвестиций будет увеличиваться, то есть дооцениваться.</w:t>
      </w:r>
    </w:p>
    <w:p w:rsidR="00AB37B5" w:rsidRDefault="00AB37B5" w:rsidP="00AB37B5">
      <w:pPr>
        <w:widowControl w:val="0"/>
        <w:autoSpaceDE w:val="0"/>
        <w:autoSpaceDN w:val="0"/>
        <w:spacing w:after="120"/>
        <w:ind w:firstLine="709"/>
        <w:jc w:val="center"/>
        <w:rPr>
          <w:sz w:val="28"/>
          <w:szCs w:val="28"/>
        </w:rPr>
      </w:pPr>
      <w:r>
        <w:rPr>
          <w:sz w:val="28"/>
          <w:szCs w:val="28"/>
        </w:rPr>
        <w:t>Корреспонденция счетов при переоценке по счетам подраздела 2000 «Долгосрочные финансовые инвестиции»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5341"/>
        <w:gridCol w:w="1559"/>
        <w:gridCol w:w="1757"/>
      </w:tblGrid>
      <w:tr w:rsidR="00AB37B5" w:rsidRPr="00B00DA2">
        <w:tc>
          <w:tcPr>
            <w:tcW w:w="812" w:type="dxa"/>
            <w:vMerge w:val="restart"/>
            <w:tcMar>
              <w:left w:w="57" w:type="dxa"/>
              <w:right w:w="57" w:type="dxa"/>
            </w:tcMar>
            <w:vAlign w:val="center"/>
          </w:tcPr>
          <w:p w:rsidR="00AB37B5" w:rsidRPr="00B00DA2" w:rsidRDefault="00AB37B5" w:rsidP="009322FA">
            <w:pPr>
              <w:widowControl w:val="0"/>
              <w:autoSpaceDE w:val="0"/>
              <w:autoSpaceDN w:val="0"/>
              <w:jc w:val="center"/>
            </w:pPr>
            <w:r>
              <w:t>№ п.п</w:t>
            </w:r>
          </w:p>
        </w:tc>
        <w:tc>
          <w:tcPr>
            <w:tcW w:w="5341" w:type="dxa"/>
            <w:vMerge w:val="restart"/>
            <w:vAlign w:val="center"/>
          </w:tcPr>
          <w:p w:rsidR="00AB37B5" w:rsidRPr="00B00DA2" w:rsidRDefault="00AB37B5" w:rsidP="009322FA">
            <w:pPr>
              <w:widowControl w:val="0"/>
              <w:autoSpaceDE w:val="0"/>
              <w:autoSpaceDN w:val="0"/>
              <w:jc w:val="center"/>
            </w:pPr>
            <w:r>
              <w:t>Содержание операции</w:t>
            </w:r>
          </w:p>
        </w:tc>
        <w:tc>
          <w:tcPr>
            <w:tcW w:w="3316" w:type="dxa"/>
            <w:gridSpan w:val="2"/>
            <w:vAlign w:val="center"/>
          </w:tcPr>
          <w:p w:rsidR="00AB37B5" w:rsidRPr="00B00DA2" w:rsidRDefault="00AB37B5" w:rsidP="009322FA">
            <w:pPr>
              <w:widowControl w:val="0"/>
              <w:autoSpaceDE w:val="0"/>
              <w:autoSpaceDN w:val="0"/>
              <w:jc w:val="center"/>
            </w:pPr>
            <w:r>
              <w:t>Корреспонденция счетов</w:t>
            </w:r>
          </w:p>
        </w:tc>
      </w:tr>
      <w:tr w:rsidR="00AB37B5" w:rsidRPr="00B00DA2">
        <w:tc>
          <w:tcPr>
            <w:tcW w:w="812" w:type="dxa"/>
            <w:vMerge/>
            <w:tcBorders>
              <w:bottom w:val="single" w:sz="4" w:space="0" w:color="auto"/>
            </w:tcBorders>
            <w:tcMar>
              <w:left w:w="57" w:type="dxa"/>
              <w:right w:w="57" w:type="dxa"/>
            </w:tcMar>
            <w:vAlign w:val="center"/>
          </w:tcPr>
          <w:p w:rsidR="00AB37B5" w:rsidRPr="00B00DA2" w:rsidRDefault="00AB37B5" w:rsidP="009322FA">
            <w:pPr>
              <w:widowControl w:val="0"/>
              <w:autoSpaceDE w:val="0"/>
              <w:autoSpaceDN w:val="0"/>
              <w:jc w:val="center"/>
            </w:pPr>
          </w:p>
        </w:tc>
        <w:tc>
          <w:tcPr>
            <w:tcW w:w="5341" w:type="dxa"/>
            <w:vMerge/>
            <w:vAlign w:val="center"/>
          </w:tcPr>
          <w:p w:rsidR="00AB37B5" w:rsidRPr="00B00DA2" w:rsidRDefault="00AB37B5" w:rsidP="009322FA">
            <w:pPr>
              <w:widowControl w:val="0"/>
              <w:autoSpaceDE w:val="0"/>
              <w:autoSpaceDN w:val="0"/>
              <w:jc w:val="center"/>
            </w:pPr>
          </w:p>
        </w:tc>
        <w:tc>
          <w:tcPr>
            <w:tcW w:w="1559" w:type="dxa"/>
            <w:vAlign w:val="center"/>
          </w:tcPr>
          <w:p w:rsidR="00AB37B5" w:rsidRPr="00B00DA2" w:rsidRDefault="00AB37B5" w:rsidP="009322FA">
            <w:pPr>
              <w:widowControl w:val="0"/>
              <w:autoSpaceDE w:val="0"/>
              <w:autoSpaceDN w:val="0"/>
              <w:jc w:val="center"/>
            </w:pPr>
            <w:r>
              <w:t>Дебет</w:t>
            </w:r>
          </w:p>
        </w:tc>
        <w:tc>
          <w:tcPr>
            <w:tcW w:w="1757" w:type="dxa"/>
            <w:vAlign w:val="center"/>
          </w:tcPr>
          <w:p w:rsidR="00AB37B5" w:rsidRPr="00B00DA2" w:rsidRDefault="00AB37B5" w:rsidP="009322FA">
            <w:pPr>
              <w:widowControl w:val="0"/>
              <w:autoSpaceDE w:val="0"/>
              <w:autoSpaceDN w:val="0"/>
              <w:jc w:val="center"/>
            </w:pPr>
            <w:r>
              <w:t>Кредит</w:t>
            </w:r>
          </w:p>
        </w:tc>
      </w:tr>
      <w:tr w:rsidR="00AB37B5" w:rsidRPr="00B00DA2">
        <w:trPr>
          <w:trHeight w:val="795"/>
        </w:trPr>
        <w:tc>
          <w:tcPr>
            <w:tcW w:w="812" w:type="dxa"/>
            <w:tcBorders>
              <w:top w:val="single" w:sz="4" w:space="0" w:color="auto"/>
              <w:bottom w:val="single" w:sz="4" w:space="0" w:color="auto"/>
            </w:tcBorders>
            <w:tcMar>
              <w:left w:w="57" w:type="dxa"/>
              <w:right w:w="57" w:type="dxa"/>
            </w:tcMar>
            <w:vAlign w:val="center"/>
          </w:tcPr>
          <w:p w:rsidR="00AB37B5" w:rsidRPr="00B00DA2" w:rsidRDefault="00AB37B5" w:rsidP="009322FA">
            <w:pPr>
              <w:widowControl w:val="0"/>
              <w:autoSpaceDE w:val="0"/>
              <w:autoSpaceDN w:val="0"/>
              <w:jc w:val="center"/>
            </w:pPr>
            <w:r>
              <w:t>1</w:t>
            </w:r>
          </w:p>
        </w:tc>
        <w:tc>
          <w:tcPr>
            <w:tcW w:w="5341" w:type="dxa"/>
            <w:tcBorders>
              <w:bottom w:val="single" w:sz="4" w:space="0" w:color="auto"/>
            </w:tcBorders>
            <w:vAlign w:val="center"/>
          </w:tcPr>
          <w:p w:rsidR="00AB37B5" w:rsidRPr="00B00DA2" w:rsidRDefault="00AB37B5" w:rsidP="009322FA">
            <w:pPr>
              <w:widowControl w:val="0"/>
              <w:autoSpaceDE w:val="0"/>
              <w:autoSpaceDN w:val="0"/>
            </w:pPr>
            <w:r>
              <w:t>Увеличение справедливой стоимости долгосрочных</w:t>
            </w:r>
            <w:r w:rsidRPr="00B00DA2">
              <w:t xml:space="preserve"> финансовы</w:t>
            </w:r>
            <w:r>
              <w:t>х</w:t>
            </w:r>
            <w:r w:rsidRPr="00B00DA2">
              <w:t xml:space="preserve"> инвестици</w:t>
            </w:r>
            <w:r>
              <w:t>й в результате переоценки</w:t>
            </w:r>
          </w:p>
        </w:tc>
        <w:tc>
          <w:tcPr>
            <w:tcW w:w="1559" w:type="dxa"/>
            <w:tcBorders>
              <w:bottom w:val="single" w:sz="4" w:space="0" w:color="auto"/>
            </w:tcBorders>
            <w:vAlign w:val="center"/>
          </w:tcPr>
          <w:p w:rsidR="00AB37B5" w:rsidRDefault="00AB37B5" w:rsidP="009322FA">
            <w:pPr>
              <w:widowControl w:val="0"/>
              <w:autoSpaceDE w:val="0"/>
              <w:autoSpaceDN w:val="0"/>
              <w:jc w:val="center"/>
            </w:pPr>
            <w:r>
              <w:t>2030, 2040</w:t>
            </w:r>
          </w:p>
        </w:tc>
        <w:tc>
          <w:tcPr>
            <w:tcW w:w="1757" w:type="dxa"/>
            <w:tcBorders>
              <w:bottom w:val="single" w:sz="4" w:space="0" w:color="auto"/>
            </w:tcBorders>
            <w:vAlign w:val="center"/>
          </w:tcPr>
          <w:p w:rsidR="00AB37B5" w:rsidRDefault="00AB37B5" w:rsidP="009322FA">
            <w:pPr>
              <w:widowControl w:val="0"/>
              <w:autoSpaceDE w:val="0"/>
              <w:autoSpaceDN w:val="0"/>
              <w:jc w:val="center"/>
            </w:pPr>
            <w:r>
              <w:t>6150</w:t>
            </w:r>
          </w:p>
        </w:tc>
      </w:tr>
      <w:tr w:rsidR="00AB37B5" w:rsidRPr="00B00DA2">
        <w:trPr>
          <w:trHeight w:val="600"/>
        </w:trPr>
        <w:tc>
          <w:tcPr>
            <w:tcW w:w="812" w:type="dxa"/>
            <w:tcBorders>
              <w:top w:val="single" w:sz="4" w:space="0" w:color="auto"/>
            </w:tcBorders>
            <w:tcMar>
              <w:left w:w="57" w:type="dxa"/>
              <w:right w:w="57" w:type="dxa"/>
            </w:tcMar>
            <w:vAlign w:val="center"/>
          </w:tcPr>
          <w:p w:rsidR="00AB37B5" w:rsidRDefault="00AB37B5" w:rsidP="009322FA">
            <w:pPr>
              <w:widowControl w:val="0"/>
              <w:autoSpaceDE w:val="0"/>
              <w:autoSpaceDN w:val="0"/>
              <w:jc w:val="center"/>
            </w:pPr>
            <w:r>
              <w:t>2</w:t>
            </w:r>
          </w:p>
        </w:tc>
        <w:tc>
          <w:tcPr>
            <w:tcW w:w="5341" w:type="dxa"/>
            <w:vAlign w:val="center"/>
          </w:tcPr>
          <w:p w:rsidR="00AB37B5" w:rsidRDefault="004F630D" w:rsidP="009322FA">
            <w:pPr>
              <w:widowControl w:val="0"/>
              <w:autoSpaceDE w:val="0"/>
              <w:autoSpaceDN w:val="0"/>
            </w:pPr>
            <w:r>
              <w:t>Восстановление ранее списанной суммы снижения стоимости долгосрочных фин. инвестиций при увеличении их стоимости</w:t>
            </w:r>
          </w:p>
        </w:tc>
        <w:tc>
          <w:tcPr>
            <w:tcW w:w="1559" w:type="dxa"/>
            <w:vAlign w:val="center"/>
          </w:tcPr>
          <w:p w:rsidR="00AB37B5" w:rsidRDefault="004F630D" w:rsidP="009322FA">
            <w:pPr>
              <w:widowControl w:val="0"/>
              <w:autoSpaceDE w:val="0"/>
              <w:autoSpaceDN w:val="0"/>
              <w:jc w:val="center"/>
            </w:pPr>
            <w:r>
              <w:t>2030, 2040</w:t>
            </w:r>
          </w:p>
        </w:tc>
        <w:tc>
          <w:tcPr>
            <w:tcW w:w="1757" w:type="dxa"/>
            <w:vAlign w:val="center"/>
          </w:tcPr>
          <w:p w:rsidR="00AB37B5" w:rsidRDefault="004F630D" w:rsidP="009322FA">
            <w:pPr>
              <w:widowControl w:val="0"/>
              <w:autoSpaceDE w:val="0"/>
              <w:autoSpaceDN w:val="0"/>
              <w:jc w:val="center"/>
            </w:pPr>
            <w:r>
              <w:t>6150</w:t>
            </w:r>
          </w:p>
        </w:tc>
      </w:tr>
      <w:tr w:rsidR="00AB37B5" w:rsidRPr="00B00DA2">
        <w:trPr>
          <w:trHeight w:val="600"/>
        </w:trPr>
        <w:tc>
          <w:tcPr>
            <w:tcW w:w="812" w:type="dxa"/>
            <w:tcMar>
              <w:left w:w="57" w:type="dxa"/>
              <w:right w:w="57" w:type="dxa"/>
            </w:tcMar>
            <w:vAlign w:val="center"/>
          </w:tcPr>
          <w:p w:rsidR="00AB37B5" w:rsidRDefault="00AB37B5" w:rsidP="009322FA">
            <w:pPr>
              <w:widowControl w:val="0"/>
              <w:autoSpaceDE w:val="0"/>
              <w:autoSpaceDN w:val="0"/>
              <w:jc w:val="center"/>
            </w:pPr>
            <w:r>
              <w:t>3</w:t>
            </w:r>
          </w:p>
        </w:tc>
        <w:tc>
          <w:tcPr>
            <w:tcW w:w="5341" w:type="dxa"/>
            <w:vAlign w:val="center"/>
          </w:tcPr>
          <w:p w:rsidR="00AB37B5" w:rsidRDefault="004F630D" w:rsidP="009322FA">
            <w:pPr>
              <w:widowControl w:val="0"/>
              <w:autoSpaceDE w:val="0"/>
              <w:autoSpaceDN w:val="0"/>
            </w:pPr>
            <w:r>
              <w:t>Уменьшение справедливой стоимости долгосрочных</w:t>
            </w:r>
            <w:r w:rsidRPr="00B00DA2">
              <w:t xml:space="preserve"> финансовы</w:t>
            </w:r>
            <w:r>
              <w:t>х</w:t>
            </w:r>
            <w:r w:rsidRPr="00B00DA2">
              <w:t xml:space="preserve"> инвестици</w:t>
            </w:r>
            <w:r>
              <w:t>й в результате переоценки</w:t>
            </w:r>
          </w:p>
        </w:tc>
        <w:tc>
          <w:tcPr>
            <w:tcW w:w="1559" w:type="dxa"/>
            <w:vAlign w:val="center"/>
          </w:tcPr>
          <w:p w:rsidR="00AB37B5" w:rsidRDefault="004F630D" w:rsidP="009322FA">
            <w:pPr>
              <w:widowControl w:val="0"/>
              <w:autoSpaceDE w:val="0"/>
              <w:autoSpaceDN w:val="0"/>
              <w:jc w:val="center"/>
            </w:pPr>
            <w:r>
              <w:t>7330</w:t>
            </w:r>
          </w:p>
        </w:tc>
        <w:tc>
          <w:tcPr>
            <w:tcW w:w="1757" w:type="dxa"/>
            <w:vAlign w:val="center"/>
          </w:tcPr>
          <w:p w:rsidR="00AB37B5" w:rsidRDefault="004F630D" w:rsidP="009322FA">
            <w:pPr>
              <w:widowControl w:val="0"/>
              <w:autoSpaceDE w:val="0"/>
              <w:autoSpaceDN w:val="0"/>
              <w:jc w:val="center"/>
            </w:pPr>
            <w:r>
              <w:t>2030, 2040</w:t>
            </w:r>
          </w:p>
        </w:tc>
      </w:tr>
    </w:tbl>
    <w:p w:rsidR="00AB37B5" w:rsidRPr="00E23B8D" w:rsidRDefault="00AB37B5" w:rsidP="00F86457">
      <w:pPr>
        <w:ind w:firstLine="709"/>
        <w:jc w:val="both"/>
        <w:rPr>
          <w:sz w:val="28"/>
          <w:szCs w:val="28"/>
        </w:rPr>
      </w:pPr>
    </w:p>
    <w:p w:rsidR="007A4625" w:rsidRPr="00403EDE" w:rsidRDefault="007A4625" w:rsidP="004F630D">
      <w:pPr>
        <w:keepNext/>
        <w:widowControl w:val="0"/>
        <w:numPr>
          <w:ilvl w:val="0"/>
          <w:numId w:val="21"/>
        </w:numPr>
        <w:tabs>
          <w:tab w:val="left" w:pos="426"/>
        </w:tabs>
        <w:autoSpaceDE w:val="0"/>
        <w:autoSpaceDN w:val="0"/>
        <w:spacing w:before="120" w:after="120"/>
        <w:ind w:left="425" w:hanging="425"/>
        <w:jc w:val="center"/>
        <w:rPr>
          <w:b/>
          <w:caps/>
          <w:sz w:val="28"/>
          <w:szCs w:val="28"/>
        </w:rPr>
      </w:pPr>
      <w:r w:rsidRPr="00403EDE">
        <w:rPr>
          <w:b/>
          <w:caps/>
          <w:sz w:val="28"/>
          <w:szCs w:val="28"/>
        </w:rPr>
        <w:t>Выбытие инвестиций</w:t>
      </w:r>
    </w:p>
    <w:p w:rsidR="007A4625" w:rsidRPr="00403EDE" w:rsidRDefault="00403EDE" w:rsidP="00403EDE">
      <w:pPr>
        <w:ind w:firstLine="709"/>
        <w:jc w:val="both"/>
        <w:rPr>
          <w:sz w:val="28"/>
          <w:szCs w:val="28"/>
        </w:rPr>
      </w:pPr>
      <w:r>
        <w:rPr>
          <w:sz w:val="28"/>
          <w:szCs w:val="28"/>
        </w:rPr>
        <w:t>При продаже ценных бумаг</w:t>
      </w:r>
      <w:r w:rsidR="007A4625" w:rsidRPr="00403EDE">
        <w:rPr>
          <w:sz w:val="28"/>
          <w:szCs w:val="28"/>
        </w:rPr>
        <w:t xml:space="preserve"> компания обычно получает пр</w:t>
      </w:r>
      <w:r>
        <w:rPr>
          <w:sz w:val="28"/>
          <w:szCs w:val="28"/>
        </w:rPr>
        <w:t>ибыль или несет убытки</w:t>
      </w:r>
      <w:r w:rsidR="007A4625" w:rsidRPr="00403EDE">
        <w:rPr>
          <w:sz w:val="28"/>
          <w:szCs w:val="28"/>
        </w:rPr>
        <w:t>:</w:t>
      </w:r>
    </w:p>
    <w:p w:rsidR="007A4625" w:rsidRPr="00403EDE" w:rsidRDefault="007A4625" w:rsidP="00403EDE">
      <w:pPr>
        <w:numPr>
          <w:ilvl w:val="0"/>
          <w:numId w:val="14"/>
        </w:numPr>
        <w:tabs>
          <w:tab w:val="left" w:pos="1134"/>
        </w:tabs>
        <w:ind w:left="0" w:firstLine="709"/>
        <w:jc w:val="both"/>
        <w:rPr>
          <w:sz w:val="28"/>
          <w:szCs w:val="28"/>
        </w:rPr>
      </w:pPr>
      <w:r w:rsidRPr="00403EDE">
        <w:rPr>
          <w:sz w:val="28"/>
          <w:szCs w:val="28"/>
        </w:rPr>
        <w:t xml:space="preserve">разница между доходом и балансовой стоимостью признается как </w:t>
      </w:r>
      <w:r w:rsidR="00403EDE">
        <w:rPr>
          <w:sz w:val="28"/>
          <w:szCs w:val="28"/>
        </w:rPr>
        <w:t>прибыль</w:t>
      </w:r>
      <w:r w:rsidRPr="00403EDE">
        <w:rPr>
          <w:sz w:val="28"/>
          <w:szCs w:val="28"/>
        </w:rPr>
        <w:t xml:space="preserve"> или </w:t>
      </w:r>
      <w:r w:rsidR="00403EDE">
        <w:rPr>
          <w:sz w:val="28"/>
          <w:szCs w:val="28"/>
        </w:rPr>
        <w:t>убыток</w:t>
      </w:r>
      <w:r w:rsidRPr="00403EDE">
        <w:rPr>
          <w:sz w:val="28"/>
          <w:szCs w:val="28"/>
        </w:rPr>
        <w:t>;</w:t>
      </w:r>
    </w:p>
    <w:p w:rsidR="007A4625" w:rsidRDefault="007A4625" w:rsidP="00403EDE">
      <w:pPr>
        <w:numPr>
          <w:ilvl w:val="0"/>
          <w:numId w:val="14"/>
        </w:numPr>
        <w:tabs>
          <w:tab w:val="left" w:pos="1134"/>
        </w:tabs>
        <w:ind w:left="0" w:firstLine="709"/>
        <w:jc w:val="both"/>
        <w:rPr>
          <w:sz w:val="28"/>
          <w:szCs w:val="28"/>
        </w:rPr>
      </w:pPr>
      <w:r w:rsidRPr="00403EDE">
        <w:rPr>
          <w:sz w:val="28"/>
          <w:szCs w:val="28"/>
        </w:rPr>
        <w:t>любой доход от переоценки актива перевод</w:t>
      </w:r>
      <w:r w:rsidR="00403EDE">
        <w:rPr>
          <w:sz w:val="28"/>
          <w:szCs w:val="28"/>
        </w:rPr>
        <w:t>ится в доход в отчете финансовых результатах</w:t>
      </w:r>
      <w:r w:rsidRPr="00403EDE">
        <w:rPr>
          <w:sz w:val="28"/>
          <w:szCs w:val="28"/>
        </w:rPr>
        <w:t>, либо может быть прибавлен непосредственно к нераспределенной прибыли в бухгалтерском балансе</w:t>
      </w:r>
      <w:r w:rsidR="00403EDE">
        <w:rPr>
          <w:sz w:val="28"/>
          <w:szCs w:val="28"/>
        </w:rPr>
        <w:t xml:space="preserve"> (при этом нужно последовательно придерживаться выбранного метода)</w:t>
      </w:r>
      <w:r w:rsidRPr="00403EDE">
        <w:rPr>
          <w:sz w:val="28"/>
          <w:szCs w:val="28"/>
        </w:rPr>
        <w:t>.</w:t>
      </w:r>
    </w:p>
    <w:p w:rsidR="00403EDE" w:rsidRDefault="00403EDE" w:rsidP="00403EDE">
      <w:pPr>
        <w:tabs>
          <w:tab w:val="left" w:pos="-5245"/>
        </w:tabs>
        <w:ind w:firstLine="709"/>
        <w:jc w:val="both"/>
        <w:rPr>
          <w:sz w:val="28"/>
          <w:szCs w:val="28"/>
        </w:rPr>
      </w:pPr>
      <w:r>
        <w:rPr>
          <w:sz w:val="28"/>
          <w:szCs w:val="28"/>
        </w:rPr>
        <w:t>Если инвестиция была текущим активом, учитываемым на основе портфеля по наименьшему значению из стоимости приобретения или рыночной стоимости, прибыль или убыток от реализации должны быть основаны на стоимости приобретения.</w:t>
      </w:r>
    </w:p>
    <w:p w:rsidR="00403EDE" w:rsidRDefault="00403EDE" w:rsidP="00403EDE">
      <w:pPr>
        <w:tabs>
          <w:tab w:val="left" w:pos="-5245"/>
        </w:tabs>
        <w:ind w:firstLine="709"/>
        <w:jc w:val="both"/>
        <w:rPr>
          <w:sz w:val="28"/>
          <w:szCs w:val="28"/>
        </w:rPr>
      </w:pPr>
      <w:r>
        <w:rPr>
          <w:sz w:val="28"/>
          <w:szCs w:val="28"/>
        </w:rPr>
        <w:t>Если инвестиция была ранее переоценена или оценена</w:t>
      </w:r>
      <w:r w:rsidR="0039278C">
        <w:rPr>
          <w:sz w:val="28"/>
          <w:szCs w:val="28"/>
        </w:rPr>
        <w:t xml:space="preserve"> по рыночной стоимости и увеличение было отнесено на доход от переоценки (собственный капитал), то возможны два способа:</w:t>
      </w:r>
    </w:p>
    <w:p w:rsidR="0039278C" w:rsidRDefault="0039278C" w:rsidP="0039278C">
      <w:pPr>
        <w:numPr>
          <w:ilvl w:val="0"/>
          <w:numId w:val="15"/>
        </w:numPr>
        <w:tabs>
          <w:tab w:val="left" w:pos="-5245"/>
          <w:tab w:val="left" w:pos="1134"/>
        </w:tabs>
        <w:ind w:left="0" w:firstLine="709"/>
        <w:jc w:val="both"/>
        <w:rPr>
          <w:sz w:val="28"/>
          <w:szCs w:val="28"/>
        </w:rPr>
      </w:pPr>
      <w:r>
        <w:rPr>
          <w:sz w:val="28"/>
          <w:szCs w:val="28"/>
        </w:rPr>
        <w:t>либо кредитование суммы дохода от переоценки на доход от реализации с отражением в отчете финансовых результатов;</w:t>
      </w:r>
    </w:p>
    <w:p w:rsidR="0039278C" w:rsidRDefault="0039278C" w:rsidP="0039278C">
      <w:pPr>
        <w:numPr>
          <w:ilvl w:val="0"/>
          <w:numId w:val="15"/>
        </w:numPr>
        <w:tabs>
          <w:tab w:val="left" w:pos="-5245"/>
          <w:tab w:val="left" w:pos="1134"/>
        </w:tabs>
        <w:ind w:left="0" w:firstLine="709"/>
        <w:jc w:val="both"/>
        <w:rPr>
          <w:sz w:val="28"/>
          <w:szCs w:val="28"/>
        </w:rPr>
      </w:pPr>
      <w:r>
        <w:rPr>
          <w:sz w:val="28"/>
          <w:szCs w:val="28"/>
        </w:rPr>
        <w:t>либо перенос суммы дохода от переоценки на нераспределенную прибыль.</w:t>
      </w:r>
    </w:p>
    <w:p w:rsidR="0039278C" w:rsidRDefault="0039278C" w:rsidP="0039278C">
      <w:pPr>
        <w:tabs>
          <w:tab w:val="left" w:pos="-5245"/>
        </w:tabs>
        <w:ind w:firstLine="709"/>
        <w:jc w:val="both"/>
        <w:rPr>
          <w:sz w:val="28"/>
          <w:szCs w:val="28"/>
        </w:rPr>
      </w:pPr>
      <w:r>
        <w:rPr>
          <w:sz w:val="28"/>
          <w:szCs w:val="28"/>
        </w:rPr>
        <w:t>Когда акции продаются, разница между ценой реализации и ценой приобретения отражается в учете и в отчете о финансовых результатах. Сумма полученных дивидендов по таким инвестициям записывается по дебету счета «Денежные средства» и кредиту счета «Доход от дивидендов».</w:t>
      </w:r>
    </w:p>
    <w:p w:rsidR="00C72C5E" w:rsidRDefault="00C72C5E" w:rsidP="0039278C">
      <w:pPr>
        <w:tabs>
          <w:tab w:val="left" w:pos="-5245"/>
        </w:tabs>
        <w:ind w:firstLine="709"/>
        <w:jc w:val="both"/>
        <w:rPr>
          <w:sz w:val="28"/>
          <w:szCs w:val="28"/>
        </w:rPr>
      </w:pPr>
      <w:r>
        <w:rPr>
          <w:sz w:val="28"/>
          <w:szCs w:val="28"/>
        </w:rPr>
        <w:t>При выбытии финансовых инвестиций разницу между полученным доходом от продажи и балансовой стоимостью, за вычетом расходов (услуги брокера или дилера), признаются как доход или расход. Если инвестиция была ранее переоценена, то сумму переоценки, накопленной на счете 5440, относят на доход или на нераспределенный доход в соответствии с принятой учетной политикой.</w:t>
      </w:r>
    </w:p>
    <w:p w:rsidR="00C72C5E" w:rsidRDefault="00C72C5E" w:rsidP="0039278C">
      <w:pPr>
        <w:tabs>
          <w:tab w:val="left" w:pos="-5245"/>
        </w:tabs>
        <w:ind w:firstLine="709"/>
        <w:jc w:val="both"/>
        <w:rPr>
          <w:sz w:val="28"/>
          <w:szCs w:val="28"/>
        </w:rPr>
      </w:pPr>
      <w:r>
        <w:rPr>
          <w:sz w:val="28"/>
          <w:szCs w:val="28"/>
        </w:rPr>
        <w:t>Период владения финансовыми инвестициями может быть пересмотрен хозяйствующим субъектом или измениться по независящим от него причинам, в связи с чем возникает необходимость перевода финансовых инвестиций из одной категории в другую: долгосрочных в краткосрочные и наоборот. Например, предприятие приобрело инвестиции с целью реализации их в ближайшем будущем, а затем решило оставить их и учитывать как долгосрочные финансовые инвестиции.</w:t>
      </w:r>
    </w:p>
    <w:p w:rsidR="00C72C5E" w:rsidRDefault="00C72C5E" w:rsidP="0039278C">
      <w:pPr>
        <w:tabs>
          <w:tab w:val="left" w:pos="-5245"/>
        </w:tabs>
        <w:ind w:firstLine="709"/>
        <w:jc w:val="both"/>
        <w:rPr>
          <w:sz w:val="28"/>
          <w:szCs w:val="28"/>
        </w:rPr>
      </w:pPr>
      <w:r>
        <w:rPr>
          <w:sz w:val="28"/>
          <w:szCs w:val="28"/>
        </w:rPr>
        <w:t xml:space="preserve">Перевод </w:t>
      </w:r>
      <w:r w:rsidR="00A600E4">
        <w:rPr>
          <w:sz w:val="28"/>
          <w:szCs w:val="28"/>
        </w:rPr>
        <w:t>долгосрочных финансовых инвестиций в категорию краткосрочных осуществляется по:</w:t>
      </w:r>
    </w:p>
    <w:p w:rsidR="00A600E4" w:rsidRDefault="00A600E4" w:rsidP="00A600E4">
      <w:pPr>
        <w:pStyle w:val="aa"/>
        <w:numPr>
          <w:ilvl w:val="0"/>
          <w:numId w:val="19"/>
        </w:numPr>
        <w:tabs>
          <w:tab w:val="left" w:pos="-5245"/>
          <w:tab w:val="left" w:pos="1134"/>
        </w:tabs>
        <w:ind w:left="0" w:firstLine="709"/>
        <w:jc w:val="both"/>
        <w:rPr>
          <w:sz w:val="28"/>
          <w:szCs w:val="28"/>
        </w:rPr>
      </w:pPr>
      <w:r>
        <w:rPr>
          <w:sz w:val="28"/>
          <w:szCs w:val="28"/>
        </w:rPr>
        <w:t>наименьшей оценке из покупной и балансовой стоимости, если краткосрочные финансовые инвестиции учитываются по наименьшей оценке из покупной и текущей стоимости; если инвестиции были ранее переоценены, то при переводе сумма их переоценки должна быть списана;</w:t>
      </w:r>
    </w:p>
    <w:p w:rsidR="00A600E4" w:rsidRDefault="00A600E4" w:rsidP="00A600E4">
      <w:pPr>
        <w:pStyle w:val="aa"/>
        <w:numPr>
          <w:ilvl w:val="0"/>
          <w:numId w:val="19"/>
        </w:numPr>
        <w:tabs>
          <w:tab w:val="left" w:pos="-5245"/>
          <w:tab w:val="left" w:pos="1134"/>
        </w:tabs>
        <w:ind w:left="0" w:firstLine="709"/>
        <w:jc w:val="both"/>
        <w:rPr>
          <w:sz w:val="28"/>
          <w:szCs w:val="28"/>
        </w:rPr>
      </w:pPr>
      <w:r>
        <w:rPr>
          <w:sz w:val="28"/>
          <w:szCs w:val="28"/>
        </w:rPr>
        <w:t>балансовой стоимости, если краткосрочные финансовые инвестиции учитываются по текущей стоимости; ранее полученная сумма переоценки по этим инвестициям признается как доход;</w:t>
      </w:r>
    </w:p>
    <w:p w:rsidR="00A600E4" w:rsidRDefault="00A600E4" w:rsidP="00A600E4">
      <w:pPr>
        <w:pStyle w:val="aa"/>
        <w:tabs>
          <w:tab w:val="left" w:pos="-5245"/>
          <w:tab w:val="left" w:pos="-5103"/>
        </w:tabs>
        <w:ind w:left="0" w:firstLine="709"/>
        <w:jc w:val="both"/>
        <w:rPr>
          <w:sz w:val="28"/>
          <w:szCs w:val="28"/>
        </w:rPr>
      </w:pPr>
      <w:r>
        <w:rPr>
          <w:sz w:val="28"/>
          <w:szCs w:val="28"/>
        </w:rPr>
        <w:t>Перевод краткосрочных финансовых инвестиций в категорию долгосрочных осуществляется по:</w:t>
      </w:r>
    </w:p>
    <w:p w:rsidR="00A600E4" w:rsidRDefault="00A600E4" w:rsidP="00A600E4">
      <w:pPr>
        <w:pStyle w:val="aa"/>
        <w:numPr>
          <w:ilvl w:val="0"/>
          <w:numId w:val="19"/>
        </w:numPr>
        <w:tabs>
          <w:tab w:val="left" w:pos="-5245"/>
          <w:tab w:val="left" w:pos="1134"/>
        </w:tabs>
        <w:ind w:left="0" w:firstLine="709"/>
        <w:jc w:val="both"/>
        <w:rPr>
          <w:sz w:val="28"/>
          <w:szCs w:val="28"/>
        </w:rPr>
      </w:pPr>
      <w:r>
        <w:rPr>
          <w:sz w:val="28"/>
          <w:szCs w:val="28"/>
        </w:rPr>
        <w:t>наименьшей оценке из покупной и текущей стоимости;</w:t>
      </w:r>
    </w:p>
    <w:p w:rsidR="00A600E4" w:rsidRDefault="00A600E4" w:rsidP="00A600E4">
      <w:pPr>
        <w:pStyle w:val="aa"/>
        <w:numPr>
          <w:ilvl w:val="0"/>
          <w:numId w:val="19"/>
        </w:numPr>
        <w:tabs>
          <w:tab w:val="left" w:pos="-5245"/>
          <w:tab w:val="left" w:pos="1134"/>
        </w:tabs>
        <w:ind w:left="0" w:firstLine="709"/>
        <w:jc w:val="both"/>
        <w:rPr>
          <w:sz w:val="28"/>
          <w:szCs w:val="28"/>
        </w:rPr>
      </w:pPr>
      <w:r>
        <w:rPr>
          <w:sz w:val="28"/>
          <w:szCs w:val="28"/>
        </w:rPr>
        <w:t>текущей стоимости, если они были ранее отражены по этой стоимости.</w:t>
      </w:r>
    </w:p>
    <w:p w:rsidR="004F093C" w:rsidRDefault="004F093C" w:rsidP="004F630D">
      <w:pPr>
        <w:pStyle w:val="aa"/>
        <w:tabs>
          <w:tab w:val="left" w:pos="-5245"/>
          <w:tab w:val="left" w:pos="1134"/>
        </w:tabs>
        <w:spacing w:after="120"/>
        <w:ind w:left="0" w:firstLine="709"/>
        <w:jc w:val="center"/>
        <w:rPr>
          <w:sz w:val="28"/>
          <w:szCs w:val="28"/>
        </w:rPr>
      </w:pPr>
      <w:r>
        <w:rPr>
          <w:sz w:val="28"/>
          <w:szCs w:val="28"/>
        </w:rPr>
        <w:t xml:space="preserve">Корреспонденция счетов при </w:t>
      </w:r>
      <w:r w:rsidR="00812788">
        <w:rPr>
          <w:sz w:val="28"/>
          <w:szCs w:val="28"/>
        </w:rPr>
        <w:t>выбытии</w:t>
      </w:r>
      <w:r>
        <w:rPr>
          <w:sz w:val="28"/>
          <w:szCs w:val="28"/>
        </w:rPr>
        <w:t xml:space="preserve"> </w:t>
      </w:r>
      <w:r w:rsidR="00812788">
        <w:rPr>
          <w:sz w:val="28"/>
          <w:szCs w:val="28"/>
        </w:rPr>
        <w:t>инвестиций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5529"/>
        <w:gridCol w:w="1559"/>
        <w:gridCol w:w="1757"/>
      </w:tblGrid>
      <w:tr w:rsidR="004F093C" w:rsidRPr="00B00DA2">
        <w:tc>
          <w:tcPr>
            <w:tcW w:w="624" w:type="dxa"/>
            <w:vMerge w:val="restart"/>
            <w:tcMar>
              <w:left w:w="57" w:type="dxa"/>
              <w:right w:w="57" w:type="dxa"/>
            </w:tcMar>
            <w:vAlign w:val="center"/>
          </w:tcPr>
          <w:p w:rsidR="004F093C" w:rsidRPr="00B00DA2" w:rsidRDefault="004F093C" w:rsidP="009322FA">
            <w:pPr>
              <w:widowControl w:val="0"/>
              <w:autoSpaceDE w:val="0"/>
              <w:autoSpaceDN w:val="0"/>
              <w:jc w:val="center"/>
            </w:pPr>
            <w:r>
              <w:t>№ п.п</w:t>
            </w:r>
          </w:p>
        </w:tc>
        <w:tc>
          <w:tcPr>
            <w:tcW w:w="5529" w:type="dxa"/>
            <w:vMerge w:val="restart"/>
            <w:vAlign w:val="center"/>
          </w:tcPr>
          <w:p w:rsidR="004F093C" w:rsidRPr="00B00DA2" w:rsidRDefault="004F093C" w:rsidP="009322FA">
            <w:pPr>
              <w:widowControl w:val="0"/>
              <w:autoSpaceDE w:val="0"/>
              <w:autoSpaceDN w:val="0"/>
              <w:jc w:val="center"/>
            </w:pPr>
            <w:r>
              <w:t>Содержание операции</w:t>
            </w:r>
          </w:p>
        </w:tc>
        <w:tc>
          <w:tcPr>
            <w:tcW w:w="3316" w:type="dxa"/>
            <w:gridSpan w:val="2"/>
            <w:vAlign w:val="center"/>
          </w:tcPr>
          <w:p w:rsidR="004F093C" w:rsidRPr="00B00DA2" w:rsidRDefault="004F093C" w:rsidP="009322FA">
            <w:pPr>
              <w:widowControl w:val="0"/>
              <w:autoSpaceDE w:val="0"/>
              <w:autoSpaceDN w:val="0"/>
              <w:jc w:val="center"/>
            </w:pPr>
            <w:r>
              <w:t>Корреспонденция счетов</w:t>
            </w:r>
          </w:p>
        </w:tc>
      </w:tr>
      <w:tr w:rsidR="004F093C" w:rsidRPr="00B00DA2">
        <w:tc>
          <w:tcPr>
            <w:tcW w:w="624" w:type="dxa"/>
            <w:vMerge/>
            <w:tcBorders>
              <w:bottom w:val="single" w:sz="4" w:space="0" w:color="auto"/>
            </w:tcBorders>
            <w:tcMar>
              <w:left w:w="57" w:type="dxa"/>
              <w:right w:w="57" w:type="dxa"/>
            </w:tcMar>
            <w:vAlign w:val="center"/>
          </w:tcPr>
          <w:p w:rsidR="004F093C" w:rsidRPr="00B00DA2" w:rsidRDefault="004F093C" w:rsidP="009322FA">
            <w:pPr>
              <w:widowControl w:val="0"/>
              <w:autoSpaceDE w:val="0"/>
              <w:autoSpaceDN w:val="0"/>
              <w:jc w:val="center"/>
            </w:pPr>
          </w:p>
        </w:tc>
        <w:tc>
          <w:tcPr>
            <w:tcW w:w="5529" w:type="dxa"/>
            <w:vMerge/>
            <w:vAlign w:val="center"/>
          </w:tcPr>
          <w:p w:rsidR="004F093C" w:rsidRPr="00B00DA2" w:rsidRDefault="004F093C" w:rsidP="009322FA">
            <w:pPr>
              <w:widowControl w:val="0"/>
              <w:autoSpaceDE w:val="0"/>
              <w:autoSpaceDN w:val="0"/>
              <w:jc w:val="center"/>
            </w:pPr>
          </w:p>
        </w:tc>
        <w:tc>
          <w:tcPr>
            <w:tcW w:w="1559" w:type="dxa"/>
            <w:vAlign w:val="center"/>
          </w:tcPr>
          <w:p w:rsidR="004F093C" w:rsidRPr="00B00DA2" w:rsidRDefault="004F093C" w:rsidP="009322FA">
            <w:pPr>
              <w:widowControl w:val="0"/>
              <w:autoSpaceDE w:val="0"/>
              <w:autoSpaceDN w:val="0"/>
              <w:jc w:val="center"/>
            </w:pPr>
            <w:r>
              <w:t>Дебет</w:t>
            </w:r>
          </w:p>
        </w:tc>
        <w:tc>
          <w:tcPr>
            <w:tcW w:w="1757" w:type="dxa"/>
            <w:vAlign w:val="center"/>
          </w:tcPr>
          <w:p w:rsidR="004F093C" w:rsidRPr="00B00DA2" w:rsidRDefault="004F093C" w:rsidP="009322FA">
            <w:pPr>
              <w:widowControl w:val="0"/>
              <w:autoSpaceDE w:val="0"/>
              <w:autoSpaceDN w:val="0"/>
              <w:jc w:val="center"/>
            </w:pPr>
            <w:r>
              <w:t>Кредит</w:t>
            </w:r>
          </w:p>
        </w:tc>
      </w:tr>
      <w:tr w:rsidR="004F093C" w:rsidRPr="00B00DA2">
        <w:trPr>
          <w:trHeight w:val="365"/>
        </w:trPr>
        <w:tc>
          <w:tcPr>
            <w:tcW w:w="624" w:type="dxa"/>
            <w:tcBorders>
              <w:top w:val="single" w:sz="4" w:space="0" w:color="auto"/>
              <w:bottom w:val="single" w:sz="4" w:space="0" w:color="auto"/>
            </w:tcBorders>
            <w:tcMar>
              <w:left w:w="57" w:type="dxa"/>
              <w:right w:w="57" w:type="dxa"/>
            </w:tcMar>
            <w:vAlign w:val="center"/>
          </w:tcPr>
          <w:p w:rsidR="004F093C" w:rsidRPr="00B00DA2" w:rsidRDefault="004F093C" w:rsidP="009322FA">
            <w:pPr>
              <w:widowControl w:val="0"/>
              <w:autoSpaceDE w:val="0"/>
              <w:autoSpaceDN w:val="0"/>
              <w:jc w:val="center"/>
            </w:pPr>
            <w:r>
              <w:t>1</w:t>
            </w:r>
          </w:p>
        </w:tc>
        <w:tc>
          <w:tcPr>
            <w:tcW w:w="5529" w:type="dxa"/>
            <w:tcBorders>
              <w:bottom w:val="single" w:sz="4" w:space="0" w:color="auto"/>
            </w:tcBorders>
            <w:vAlign w:val="center"/>
          </w:tcPr>
          <w:p w:rsidR="004F093C" w:rsidRPr="00B00DA2" w:rsidRDefault="00812788" w:rsidP="009322FA">
            <w:pPr>
              <w:widowControl w:val="0"/>
              <w:autoSpaceDE w:val="0"/>
              <w:autoSpaceDN w:val="0"/>
            </w:pPr>
            <w:r>
              <w:t>Погашение краткосрочных предоставленных зай</w:t>
            </w:r>
            <w:r w:rsidR="004F630D">
              <w:softHyphen/>
            </w:r>
            <w:r>
              <w:t>мов</w:t>
            </w:r>
          </w:p>
        </w:tc>
        <w:tc>
          <w:tcPr>
            <w:tcW w:w="1559" w:type="dxa"/>
            <w:tcBorders>
              <w:bottom w:val="single" w:sz="4" w:space="0" w:color="auto"/>
            </w:tcBorders>
            <w:vAlign w:val="center"/>
          </w:tcPr>
          <w:p w:rsidR="004F093C" w:rsidRDefault="004F630D" w:rsidP="009322FA">
            <w:pPr>
              <w:widowControl w:val="0"/>
              <w:autoSpaceDE w:val="0"/>
              <w:autoSpaceDN w:val="0"/>
              <w:jc w:val="center"/>
            </w:pPr>
            <w:r>
              <w:t>1010 -</w:t>
            </w:r>
            <w:r w:rsidR="00812788">
              <w:t xml:space="preserve"> 1030</w:t>
            </w:r>
          </w:p>
        </w:tc>
        <w:tc>
          <w:tcPr>
            <w:tcW w:w="1757" w:type="dxa"/>
            <w:tcBorders>
              <w:bottom w:val="single" w:sz="4" w:space="0" w:color="auto"/>
            </w:tcBorders>
            <w:vAlign w:val="center"/>
          </w:tcPr>
          <w:p w:rsidR="004F093C" w:rsidRDefault="00812788" w:rsidP="009322FA">
            <w:pPr>
              <w:widowControl w:val="0"/>
              <w:autoSpaceDE w:val="0"/>
              <w:autoSpaceDN w:val="0"/>
              <w:jc w:val="center"/>
            </w:pPr>
            <w:r>
              <w:t>1110</w:t>
            </w:r>
          </w:p>
        </w:tc>
      </w:tr>
      <w:tr w:rsidR="004F093C" w:rsidRPr="00B00DA2">
        <w:trPr>
          <w:trHeight w:val="547"/>
        </w:trPr>
        <w:tc>
          <w:tcPr>
            <w:tcW w:w="624" w:type="dxa"/>
            <w:tcBorders>
              <w:top w:val="single" w:sz="4" w:space="0" w:color="auto"/>
            </w:tcBorders>
            <w:tcMar>
              <w:left w:w="57" w:type="dxa"/>
              <w:right w:w="57" w:type="dxa"/>
            </w:tcMar>
            <w:vAlign w:val="center"/>
          </w:tcPr>
          <w:p w:rsidR="004F093C" w:rsidRDefault="004F093C" w:rsidP="009322FA">
            <w:pPr>
              <w:widowControl w:val="0"/>
              <w:autoSpaceDE w:val="0"/>
              <w:autoSpaceDN w:val="0"/>
              <w:jc w:val="center"/>
            </w:pPr>
            <w:r>
              <w:t>2</w:t>
            </w:r>
          </w:p>
        </w:tc>
        <w:tc>
          <w:tcPr>
            <w:tcW w:w="5529" w:type="dxa"/>
            <w:vAlign w:val="center"/>
          </w:tcPr>
          <w:p w:rsidR="004F093C" w:rsidRDefault="00812788" w:rsidP="009322FA">
            <w:pPr>
              <w:widowControl w:val="0"/>
              <w:autoSpaceDE w:val="0"/>
              <w:autoSpaceDN w:val="0"/>
            </w:pPr>
            <w:r>
              <w:t>Списание балансовой стоимости к</w:t>
            </w:r>
            <w:r w:rsidRPr="00B00DA2">
              <w:t>раткосрочны</w:t>
            </w:r>
            <w:r>
              <w:t>х</w:t>
            </w:r>
            <w:r w:rsidRPr="00B00DA2">
              <w:t xml:space="preserve"> финансовы</w:t>
            </w:r>
            <w:r>
              <w:t>х</w:t>
            </w:r>
            <w:r w:rsidRPr="00B00DA2">
              <w:t xml:space="preserve"> инвестици</w:t>
            </w:r>
            <w:r>
              <w:t>й при выбытии</w:t>
            </w:r>
          </w:p>
        </w:tc>
        <w:tc>
          <w:tcPr>
            <w:tcW w:w="1559" w:type="dxa"/>
            <w:vAlign w:val="center"/>
          </w:tcPr>
          <w:p w:rsidR="004F093C" w:rsidRDefault="004F093C" w:rsidP="009322FA">
            <w:pPr>
              <w:widowControl w:val="0"/>
              <w:autoSpaceDE w:val="0"/>
              <w:autoSpaceDN w:val="0"/>
              <w:jc w:val="center"/>
            </w:pPr>
            <w:r>
              <w:t>74</w:t>
            </w:r>
            <w:r w:rsidR="00812788">
              <w:t>1</w:t>
            </w:r>
            <w:r>
              <w:t>0</w:t>
            </w:r>
          </w:p>
        </w:tc>
        <w:tc>
          <w:tcPr>
            <w:tcW w:w="1757" w:type="dxa"/>
            <w:vAlign w:val="center"/>
          </w:tcPr>
          <w:p w:rsidR="004F093C" w:rsidRDefault="00812788" w:rsidP="009322FA">
            <w:pPr>
              <w:widowControl w:val="0"/>
              <w:autoSpaceDE w:val="0"/>
              <w:autoSpaceDN w:val="0"/>
              <w:jc w:val="center"/>
            </w:pPr>
            <w:r>
              <w:t>1120-1150</w:t>
            </w:r>
          </w:p>
        </w:tc>
      </w:tr>
      <w:tr w:rsidR="00AB37B5" w:rsidRPr="00B00DA2">
        <w:trPr>
          <w:trHeight w:val="771"/>
        </w:trPr>
        <w:tc>
          <w:tcPr>
            <w:tcW w:w="624" w:type="dxa"/>
            <w:vMerge w:val="restart"/>
            <w:tcMar>
              <w:left w:w="57" w:type="dxa"/>
              <w:right w:w="57" w:type="dxa"/>
            </w:tcMar>
            <w:vAlign w:val="center"/>
          </w:tcPr>
          <w:p w:rsidR="00AB37B5" w:rsidRDefault="00AB37B5" w:rsidP="009322FA">
            <w:pPr>
              <w:widowControl w:val="0"/>
              <w:autoSpaceDE w:val="0"/>
              <w:autoSpaceDN w:val="0"/>
              <w:jc w:val="center"/>
            </w:pPr>
            <w:r>
              <w:t>3</w:t>
            </w:r>
          </w:p>
        </w:tc>
        <w:tc>
          <w:tcPr>
            <w:tcW w:w="5529" w:type="dxa"/>
            <w:tcBorders>
              <w:bottom w:val="single" w:sz="4" w:space="0" w:color="auto"/>
            </w:tcBorders>
            <w:vAlign w:val="center"/>
          </w:tcPr>
          <w:p w:rsidR="00AB37B5" w:rsidRDefault="00AB37B5" w:rsidP="009322FA">
            <w:pPr>
              <w:widowControl w:val="0"/>
              <w:autoSpaceDE w:val="0"/>
              <w:autoSpaceDN w:val="0"/>
            </w:pPr>
            <w:r>
              <w:t>Перевод краткосрочных фин. инвестиций, учиты</w:t>
            </w:r>
            <w:r w:rsidR="004F630D">
              <w:softHyphen/>
            </w:r>
            <w:r>
              <w:t>ваемых по балансовой стоимости, в долгосрочные по справедливой стоимости:</w:t>
            </w:r>
          </w:p>
        </w:tc>
        <w:tc>
          <w:tcPr>
            <w:tcW w:w="1559" w:type="dxa"/>
            <w:tcBorders>
              <w:bottom w:val="single" w:sz="4" w:space="0" w:color="auto"/>
            </w:tcBorders>
            <w:vAlign w:val="center"/>
          </w:tcPr>
          <w:p w:rsidR="00AB37B5" w:rsidRDefault="00AB37B5" w:rsidP="009322FA">
            <w:pPr>
              <w:widowControl w:val="0"/>
              <w:autoSpaceDE w:val="0"/>
              <w:autoSpaceDN w:val="0"/>
              <w:jc w:val="center"/>
            </w:pPr>
          </w:p>
        </w:tc>
        <w:tc>
          <w:tcPr>
            <w:tcW w:w="1757" w:type="dxa"/>
            <w:tcBorders>
              <w:bottom w:val="single" w:sz="4" w:space="0" w:color="auto"/>
            </w:tcBorders>
            <w:vAlign w:val="center"/>
          </w:tcPr>
          <w:p w:rsidR="00AB37B5" w:rsidRDefault="00AB37B5" w:rsidP="009322FA">
            <w:pPr>
              <w:widowControl w:val="0"/>
              <w:autoSpaceDE w:val="0"/>
              <w:autoSpaceDN w:val="0"/>
              <w:jc w:val="center"/>
            </w:pPr>
          </w:p>
        </w:tc>
      </w:tr>
      <w:tr w:rsidR="00AB37B5" w:rsidRPr="00B00DA2">
        <w:trPr>
          <w:trHeight w:val="600"/>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bottom w:val="single" w:sz="4" w:space="0" w:color="auto"/>
            </w:tcBorders>
            <w:vAlign w:val="center"/>
          </w:tcPr>
          <w:p w:rsidR="00AB37B5" w:rsidRDefault="00AB37B5" w:rsidP="009322FA">
            <w:pPr>
              <w:pStyle w:val="aa"/>
              <w:widowControl w:val="0"/>
              <w:numPr>
                <w:ilvl w:val="0"/>
                <w:numId w:val="23"/>
              </w:numPr>
              <w:autoSpaceDE w:val="0"/>
              <w:autoSpaceDN w:val="0"/>
              <w:ind w:left="322" w:hanging="283"/>
            </w:pPr>
            <w:r>
              <w:t>когда справедливая стоимость инвестиций ниже балансовой:</w:t>
            </w:r>
          </w:p>
        </w:tc>
        <w:tc>
          <w:tcPr>
            <w:tcW w:w="1559" w:type="dxa"/>
            <w:tcBorders>
              <w:top w:val="single" w:sz="4" w:space="0" w:color="auto"/>
              <w:bottom w:val="single" w:sz="4" w:space="0" w:color="auto"/>
            </w:tcBorders>
            <w:vAlign w:val="center"/>
          </w:tcPr>
          <w:p w:rsidR="00AB37B5" w:rsidRDefault="00AB37B5" w:rsidP="009322FA">
            <w:pPr>
              <w:widowControl w:val="0"/>
              <w:autoSpaceDE w:val="0"/>
              <w:autoSpaceDN w:val="0"/>
              <w:jc w:val="center"/>
            </w:pPr>
          </w:p>
        </w:tc>
        <w:tc>
          <w:tcPr>
            <w:tcW w:w="1757" w:type="dxa"/>
            <w:tcBorders>
              <w:top w:val="single" w:sz="4" w:space="0" w:color="auto"/>
              <w:bottom w:val="single" w:sz="4" w:space="0" w:color="auto"/>
            </w:tcBorders>
            <w:vAlign w:val="center"/>
          </w:tcPr>
          <w:p w:rsidR="00AB37B5" w:rsidRDefault="00AB37B5" w:rsidP="009322FA">
            <w:pPr>
              <w:widowControl w:val="0"/>
              <w:autoSpaceDE w:val="0"/>
              <w:autoSpaceDN w:val="0"/>
              <w:jc w:val="center"/>
            </w:pPr>
          </w:p>
        </w:tc>
      </w:tr>
      <w:tr w:rsidR="00AB37B5" w:rsidRPr="00B00DA2">
        <w:trPr>
          <w:trHeight w:val="255"/>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4"/>
              </w:numPr>
              <w:autoSpaceDE w:val="0"/>
              <w:autoSpaceDN w:val="0"/>
            </w:pPr>
            <w:r>
              <w:t>на справедливую стоимость</w:t>
            </w:r>
          </w:p>
        </w:tc>
        <w:tc>
          <w:tcPr>
            <w:tcW w:w="1559" w:type="dxa"/>
            <w:tcBorders>
              <w:top w:val="single" w:sz="4" w:space="0" w:color="auto"/>
            </w:tcBorders>
            <w:vAlign w:val="center"/>
          </w:tcPr>
          <w:p w:rsidR="00AB37B5" w:rsidRDefault="00AB37B5" w:rsidP="009322FA">
            <w:pPr>
              <w:widowControl w:val="0"/>
              <w:autoSpaceDE w:val="0"/>
              <w:autoSpaceDN w:val="0"/>
              <w:jc w:val="center"/>
            </w:pPr>
            <w:r>
              <w:t>2030, 2040</w:t>
            </w:r>
          </w:p>
        </w:tc>
        <w:tc>
          <w:tcPr>
            <w:tcW w:w="1757" w:type="dxa"/>
            <w:tcBorders>
              <w:top w:val="single" w:sz="4" w:space="0" w:color="auto"/>
            </w:tcBorders>
            <w:vAlign w:val="center"/>
          </w:tcPr>
          <w:p w:rsidR="00AB37B5" w:rsidRDefault="00AB37B5" w:rsidP="009322FA">
            <w:pPr>
              <w:widowControl w:val="0"/>
              <w:autoSpaceDE w:val="0"/>
              <w:autoSpaceDN w:val="0"/>
              <w:jc w:val="center"/>
            </w:pPr>
            <w:r>
              <w:t>1140, 1150</w:t>
            </w:r>
          </w:p>
        </w:tc>
      </w:tr>
      <w:tr w:rsidR="00AB37B5" w:rsidRPr="00B00DA2">
        <w:trPr>
          <w:trHeight w:val="673"/>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4"/>
              </w:numPr>
              <w:autoSpaceDE w:val="0"/>
              <w:autoSpaceDN w:val="0"/>
            </w:pPr>
            <w:r>
              <w:t>на сумму превышения балансовой стои</w:t>
            </w:r>
            <w:r w:rsidR="004F630D">
              <w:softHyphen/>
            </w:r>
            <w:r>
              <w:t>мости над справедливой стоимостью инвестиций</w:t>
            </w:r>
          </w:p>
        </w:tc>
        <w:tc>
          <w:tcPr>
            <w:tcW w:w="1559" w:type="dxa"/>
            <w:tcBorders>
              <w:top w:val="single" w:sz="4" w:space="0" w:color="auto"/>
            </w:tcBorders>
            <w:vAlign w:val="center"/>
          </w:tcPr>
          <w:p w:rsidR="00AB37B5" w:rsidRDefault="00AB37B5" w:rsidP="009322FA">
            <w:pPr>
              <w:widowControl w:val="0"/>
              <w:autoSpaceDE w:val="0"/>
              <w:autoSpaceDN w:val="0"/>
              <w:jc w:val="center"/>
            </w:pPr>
            <w:r>
              <w:t>7330</w:t>
            </w:r>
          </w:p>
        </w:tc>
        <w:tc>
          <w:tcPr>
            <w:tcW w:w="1757" w:type="dxa"/>
            <w:tcBorders>
              <w:top w:val="single" w:sz="4" w:space="0" w:color="auto"/>
            </w:tcBorders>
            <w:vAlign w:val="center"/>
          </w:tcPr>
          <w:p w:rsidR="00AB37B5" w:rsidRDefault="00AB37B5" w:rsidP="009322FA">
            <w:pPr>
              <w:widowControl w:val="0"/>
              <w:autoSpaceDE w:val="0"/>
              <w:autoSpaceDN w:val="0"/>
              <w:jc w:val="center"/>
            </w:pPr>
            <w:r>
              <w:t>1140, 1150</w:t>
            </w:r>
          </w:p>
        </w:tc>
      </w:tr>
      <w:tr w:rsidR="00AB37B5" w:rsidRPr="00B00DA2">
        <w:trPr>
          <w:trHeight w:val="255"/>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3"/>
              </w:numPr>
              <w:autoSpaceDE w:val="0"/>
              <w:autoSpaceDN w:val="0"/>
              <w:ind w:left="322" w:hanging="283"/>
            </w:pPr>
            <w:r>
              <w:t>когда справедливая стоимость инвестиций выше балансовой:</w:t>
            </w:r>
          </w:p>
        </w:tc>
        <w:tc>
          <w:tcPr>
            <w:tcW w:w="1559" w:type="dxa"/>
            <w:tcBorders>
              <w:top w:val="single" w:sz="4" w:space="0" w:color="auto"/>
            </w:tcBorders>
            <w:vAlign w:val="center"/>
          </w:tcPr>
          <w:p w:rsidR="00AB37B5" w:rsidRDefault="00AB37B5" w:rsidP="009322FA">
            <w:pPr>
              <w:widowControl w:val="0"/>
              <w:autoSpaceDE w:val="0"/>
              <w:autoSpaceDN w:val="0"/>
              <w:jc w:val="center"/>
            </w:pPr>
          </w:p>
        </w:tc>
        <w:tc>
          <w:tcPr>
            <w:tcW w:w="1757" w:type="dxa"/>
            <w:tcBorders>
              <w:top w:val="single" w:sz="4" w:space="0" w:color="auto"/>
            </w:tcBorders>
            <w:vAlign w:val="center"/>
          </w:tcPr>
          <w:p w:rsidR="00AB37B5" w:rsidRDefault="00AB37B5" w:rsidP="009322FA">
            <w:pPr>
              <w:widowControl w:val="0"/>
              <w:autoSpaceDE w:val="0"/>
              <w:autoSpaceDN w:val="0"/>
              <w:jc w:val="center"/>
            </w:pPr>
          </w:p>
        </w:tc>
      </w:tr>
      <w:tr w:rsidR="00AB37B5" w:rsidRPr="00B00DA2">
        <w:trPr>
          <w:trHeight w:val="255"/>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5"/>
              </w:numPr>
              <w:autoSpaceDE w:val="0"/>
              <w:autoSpaceDN w:val="0"/>
            </w:pPr>
            <w:r>
              <w:t>на балансовую стоимость инвестиций</w:t>
            </w:r>
          </w:p>
        </w:tc>
        <w:tc>
          <w:tcPr>
            <w:tcW w:w="1559" w:type="dxa"/>
            <w:tcBorders>
              <w:top w:val="single" w:sz="4" w:space="0" w:color="auto"/>
            </w:tcBorders>
            <w:vAlign w:val="center"/>
          </w:tcPr>
          <w:p w:rsidR="00AB37B5" w:rsidRDefault="00AB37B5" w:rsidP="009322FA">
            <w:pPr>
              <w:widowControl w:val="0"/>
              <w:autoSpaceDE w:val="0"/>
              <w:autoSpaceDN w:val="0"/>
              <w:jc w:val="center"/>
            </w:pPr>
            <w:r>
              <w:t>2030, 2040</w:t>
            </w:r>
          </w:p>
        </w:tc>
        <w:tc>
          <w:tcPr>
            <w:tcW w:w="1757" w:type="dxa"/>
            <w:tcBorders>
              <w:top w:val="single" w:sz="4" w:space="0" w:color="auto"/>
            </w:tcBorders>
            <w:vAlign w:val="center"/>
          </w:tcPr>
          <w:p w:rsidR="00AB37B5" w:rsidRDefault="00AB37B5" w:rsidP="009322FA">
            <w:pPr>
              <w:widowControl w:val="0"/>
              <w:autoSpaceDE w:val="0"/>
              <w:autoSpaceDN w:val="0"/>
              <w:jc w:val="center"/>
            </w:pPr>
            <w:r>
              <w:t>1140, 1150</w:t>
            </w:r>
          </w:p>
        </w:tc>
      </w:tr>
      <w:tr w:rsidR="00AB37B5" w:rsidRPr="00B00DA2">
        <w:trPr>
          <w:trHeight w:val="600"/>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bottom w:val="single" w:sz="4" w:space="0" w:color="auto"/>
            </w:tcBorders>
            <w:vAlign w:val="center"/>
          </w:tcPr>
          <w:p w:rsidR="00AB37B5" w:rsidRDefault="00AB37B5" w:rsidP="009322FA">
            <w:pPr>
              <w:pStyle w:val="aa"/>
              <w:widowControl w:val="0"/>
              <w:numPr>
                <w:ilvl w:val="0"/>
                <w:numId w:val="25"/>
              </w:numPr>
              <w:autoSpaceDE w:val="0"/>
              <w:autoSpaceDN w:val="0"/>
            </w:pPr>
            <w:r>
              <w:t xml:space="preserve">на сумму превышения справедливой стоимости инвестиций над балансовой </w:t>
            </w:r>
          </w:p>
        </w:tc>
        <w:tc>
          <w:tcPr>
            <w:tcW w:w="1559"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2030, 2040</w:t>
            </w:r>
          </w:p>
        </w:tc>
        <w:tc>
          <w:tcPr>
            <w:tcW w:w="1757"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6150</w:t>
            </w:r>
          </w:p>
        </w:tc>
      </w:tr>
      <w:tr w:rsidR="00AB37B5" w:rsidRPr="00B00DA2">
        <w:trPr>
          <w:cantSplit/>
          <w:trHeight w:val="933"/>
        </w:trPr>
        <w:tc>
          <w:tcPr>
            <w:tcW w:w="624" w:type="dxa"/>
            <w:vMerge w:val="restart"/>
            <w:tcMar>
              <w:left w:w="57" w:type="dxa"/>
              <w:right w:w="57" w:type="dxa"/>
            </w:tcMar>
            <w:vAlign w:val="center"/>
          </w:tcPr>
          <w:p w:rsidR="00AB37B5" w:rsidRDefault="00AB37B5" w:rsidP="009322FA">
            <w:pPr>
              <w:widowControl w:val="0"/>
              <w:autoSpaceDE w:val="0"/>
              <w:autoSpaceDN w:val="0"/>
              <w:jc w:val="center"/>
            </w:pPr>
            <w:r>
              <w:t>4</w:t>
            </w:r>
          </w:p>
        </w:tc>
        <w:tc>
          <w:tcPr>
            <w:tcW w:w="5529" w:type="dxa"/>
            <w:tcBorders>
              <w:top w:val="single" w:sz="4" w:space="0" w:color="auto"/>
              <w:bottom w:val="single" w:sz="4" w:space="0" w:color="auto"/>
            </w:tcBorders>
            <w:vAlign w:val="center"/>
          </w:tcPr>
          <w:p w:rsidR="00AB37B5" w:rsidRDefault="00AB37B5" w:rsidP="009322FA">
            <w:pPr>
              <w:widowControl w:val="0"/>
              <w:autoSpaceDE w:val="0"/>
              <w:autoSpaceDN w:val="0"/>
            </w:pPr>
            <w:r>
              <w:t>Перевод долгосрочных фин. инвестиций, учиты</w:t>
            </w:r>
            <w:r w:rsidR="004F630D">
              <w:softHyphen/>
            </w:r>
            <w:r>
              <w:t>ваемых по стоимости с учетом переоценки (ба</w:t>
            </w:r>
            <w:r w:rsidR="004F630D">
              <w:softHyphen/>
            </w:r>
            <w:r>
              <w:t>лансовой), в краткосрочные по справедливой стоимости:</w:t>
            </w:r>
          </w:p>
        </w:tc>
        <w:tc>
          <w:tcPr>
            <w:tcW w:w="1559" w:type="dxa"/>
            <w:tcBorders>
              <w:top w:val="single" w:sz="4" w:space="0" w:color="auto"/>
              <w:bottom w:val="single" w:sz="4" w:space="0" w:color="auto"/>
            </w:tcBorders>
            <w:vAlign w:val="center"/>
          </w:tcPr>
          <w:p w:rsidR="00AB37B5" w:rsidRDefault="00AB37B5" w:rsidP="009322FA">
            <w:pPr>
              <w:widowControl w:val="0"/>
              <w:autoSpaceDE w:val="0"/>
              <w:autoSpaceDN w:val="0"/>
              <w:jc w:val="center"/>
            </w:pPr>
          </w:p>
        </w:tc>
        <w:tc>
          <w:tcPr>
            <w:tcW w:w="1757" w:type="dxa"/>
            <w:tcBorders>
              <w:top w:val="single" w:sz="4" w:space="0" w:color="auto"/>
              <w:bottom w:val="single" w:sz="4" w:space="0" w:color="auto"/>
            </w:tcBorders>
            <w:vAlign w:val="center"/>
          </w:tcPr>
          <w:p w:rsidR="00AB37B5" w:rsidRDefault="00AB37B5" w:rsidP="009322FA">
            <w:pPr>
              <w:widowControl w:val="0"/>
              <w:autoSpaceDE w:val="0"/>
              <w:autoSpaceDN w:val="0"/>
              <w:jc w:val="center"/>
            </w:pPr>
          </w:p>
        </w:tc>
      </w:tr>
      <w:tr w:rsidR="00AB37B5" w:rsidRPr="00B00DA2">
        <w:trPr>
          <w:trHeight w:val="382"/>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bottom w:val="single" w:sz="4" w:space="0" w:color="auto"/>
            </w:tcBorders>
            <w:vAlign w:val="center"/>
          </w:tcPr>
          <w:p w:rsidR="00AB37B5" w:rsidRDefault="00AB37B5" w:rsidP="009322FA">
            <w:pPr>
              <w:pStyle w:val="aa"/>
              <w:widowControl w:val="0"/>
              <w:numPr>
                <w:ilvl w:val="0"/>
                <w:numId w:val="23"/>
              </w:numPr>
              <w:autoSpaceDE w:val="0"/>
              <w:autoSpaceDN w:val="0"/>
              <w:ind w:left="322" w:hanging="283"/>
            </w:pPr>
            <w:r>
              <w:t>когда справедливая стоимость ниже балансо</w:t>
            </w:r>
            <w:r w:rsidR="004F630D">
              <w:softHyphen/>
            </w:r>
            <w:r>
              <w:t>вой:</w:t>
            </w:r>
          </w:p>
        </w:tc>
        <w:tc>
          <w:tcPr>
            <w:tcW w:w="1559" w:type="dxa"/>
            <w:tcBorders>
              <w:top w:val="single" w:sz="4" w:space="0" w:color="auto"/>
              <w:bottom w:val="single" w:sz="4" w:space="0" w:color="auto"/>
            </w:tcBorders>
            <w:vAlign w:val="center"/>
          </w:tcPr>
          <w:p w:rsidR="00AB37B5" w:rsidRDefault="00AB37B5" w:rsidP="009322FA">
            <w:pPr>
              <w:widowControl w:val="0"/>
              <w:autoSpaceDE w:val="0"/>
              <w:autoSpaceDN w:val="0"/>
              <w:jc w:val="center"/>
            </w:pPr>
          </w:p>
        </w:tc>
        <w:tc>
          <w:tcPr>
            <w:tcW w:w="1757" w:type="dxa"/>
            <w:tcBorders>
              <w:top w:val="single" w:sz="4" w:space="0" w:color="auto"/>
              <w:bottom w:val="single" w:sz="4" w:space="0" w:color="auto"/>
            </w:tcBorders>
            <w:vAlign w:val="center"/>
          </w:tcPr>
          <w:p w:rsidR="00AB37B5" w:rsidRDefault="00AB37B5" w:rsidP="009322FA">
            <w:pPr>
              <w:widowControl w:val="0"/>
              <w:autoSpaceDE w:val="0"/>
              <w:autoSpaceDN w:val="0"/>
              <w:jc w:val="center"/>
            </w:pPr>
          </w:p>
        </w:tc>
      </w:tr>
      <w:tr w:rsidR="00AB37B5" w:rsidRPr="00B00DA2">
        <w:trPr>
          <w:trHeight w:val="287"/>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6"/>
              </w:numPr>
              <w:autoSpaceDE w:val="0"/>
              <w:autoSpaceDN w:val="0"/>
            </w:pPr>
            <w:r>
              <w:t>на справедливую стоимость</w:t>
            </w:r>
          </w:p>
        </w:tc>
        <w:tc>
          <w:tcPr>
            <w:tcW w:w="1559" w:type="dxa"/>
            <w:tcBorders>
              <w:top w:val="single" w:sz="4" w:space="0" w:color="auto"/>
            </w:tcBorders>
            <w:vAlign w:val="center"/>
          </w:tcPr>
          <w:p w:rsidR="00AB37B5" w:rsidRDefault="00AB37B5" w:rsidP="009322FA">
            <w:pPr>
              <w:widowControl w:val="0"/>
              <w:autoSpaceDE w:val="0"/>
              <w:autoSpaceDN w:val="0"/>
              <w:jc w:val="center"/>
            </w:pPr>
            <w:r>
              <w:t>1140, 1150</w:t>
            </w:r>
          </w:p>
        </w:tc>
        <w:tc>
          <w:tcPr>
            <w:tcW w:w="1757" w:type="dxa"/>
            <w:tcBorders>
              <w:top w:val="single" w:sz="4" w:space="0" w:color="auto"/>
            </w:tcBorders>
            <w:vAlign w:val="center"/>
          </w:tcPr>
          <w:p w:rsidR="00AB37B5" w:rsidRDefault="00AB37B5" w:rsidP="009322FA">
            <w:pPr>
              <w:widowControl w:val="0"/>
              <w:autoSpaceDE w:val="0"/>
              <w:autoSpaceDN w:val="0"/>
              <w:jc w:val="center"/>
            </w:pPr>
            <w:r>
              <w:t>2030, 2040</w:t>
            </w:r>
          </w:p>
        </w:tc>
      </w:tr>
      <w:tr w:rsidR="00AB37B5" w:rsidRPr="00B00DA2">
        <w:trPr>
          <w:trHeight w:val="600"/>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6"/>
              </w:numPr>
              <w:autoSpaceDE w:val="0"/>
              <w:autoSpaceDN w:val="0"/>
            </w:pPr>
            <w:r>
              <w:t>на сумму превышения балансовой стои</w:t>
            </w:r>
            <w:r w:rsidR="004F630D">
              <w:softHyphen/>
            </w:r>
            <w:r>
              <w:t xml:space="preserve">мости </w:t>
            </w:r>
          </w:p>
        </w:tc>
        <w:tc>
          <w:tcPr>
            <w:tcW w:w="1559" w:type="dxa"/>
            <w:tcBorders>
              <w:top w:val="single" w:sz="4" w:space="0" w:color="auto"/>
            </w:tcBorders>
            <w:vAlign w:val="center"/>
          </w:tcPr>
          <w:p w:rsidR="00AB37B5" w:rsidRDefault="00AB37B5" w:rsidP="009322FA">
            <w:pPr>
              <w:widowControl w:val="0"/>
              <w:autoSpaceDE w:val="0"/>
              <w:autoSpaceDN w:val="0"/>
              <w:jc w:val="center"/>
            </w:pPr>
            <w:r>
              <w:t>7330</w:t>
            </w:r>
          </w:p>
        </w:tc>
        <w:tc>
          <w:tcPr>
            <w:tcW w:w="1757" w:type="dxa"/>
            <w:tcBorders>
              <w:top w:val="single" w:sz="4" w:space="0" w:color="auto"/>
            </w:tcBorders>
            <w:vAlign w:val="center"/>
          </w:tcPr>
          <w:p w:rsidR="00AB37B5" w:rsidRDefault="00AB37B5" w:rsidP="009322FA">
            <w:pPr>
              <w:widowControl w:val="0"/>
              <w:autoSpaceDE w:val="0"/>
              <w:autoSpaceDN w:val="0"/>
              <w:jc w:val="center"/>
            </w:pPr>
            <w:r>
              <w:t>2030, 2040</w:t>
            </w:r>
          </w:p>
        </w:tc>
      </w:tr>
      <w:tr w:rsidR="00AB37B5" w:rsidRPr="00B00DA2">
        <w:trPr>
          <w:trHeight w:val="600"/>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3"/>
              </w:numPr>
              <w:autoSpaceDE w:val="0"/>
              <w:autoSpaceDN w:val="0"/>
              <w:ind w:left="322" w:hanging="283"/>
            </w:pPr>
            <w:r>
              <w:t>когда справедливая стоимость инвестиций выше балансовой:</w:t>
            </w:r>
          </w:p>
        </w:tc>
        <w:tc>
          <w:tcPr>
            <w:tcW w:w="1559" w:type="dxa"/>
            <w:tcBorders>
              <w:top w:val="single" w:sz="4" w:space="0" w:color="auto"/>
            </w:tcBorders>
            <w:vAlign w:val="center"/>
          </w:tcPr>
          <w:p w:rsidR="00AB37B5" w:rsidRDefault="00AB37B5" w:rsidP="009322FA">
            <w:pPr>
              <w:widowControl w:val="0"/>
              <w:autoSpaceDE w:val="0"/>
              <w:autoSpaceDN w:val="0"/>
              <w:jc w:val="center"/>
            </w:pPr>
          </w:p>
        </w:tc>
        <w:tc>
          <w:tcPr>
            <w:tcW w:w="1757" w:type="dxa"/>
            <w:tcBorders>
              <w:top w:val="single" w:sz="4" w:space="0" w:color="auto"/>
            </w:tcBorders>
            <w:vAlign w:val="center"/>
          </w:tcPr>
          <w:p w:rsidR="00AB37B5" w:rsidRDefault="00AB37B5" w:rsidP="009322FA">
            <w:pPr>
              <w:widowControl w:val="0"/>
              <w:autoSpaceDE w:val="0"/>
              <w:autoSpaceDN w:val="0"/>
              <w:jc w:val="center"/>
            </w:pPr>
          </w:p>
        </w:tc>
      </w:tr>
      <w:tr w:rsidR="00AB37B5" w:rsidRPr="00B00DA2">
        <w:trPr>
          <w:trHeight w:val="309"/>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tcBorders>
            <w:vAlign w:val="center"/>
          </w:tcPr>
          <w:p w:rsidR="00AB37B5" w:rsidRDefault="00AB37B5" w:rsidP="009322FA">
            <w:pPr>
              <w:pStyle w:val="aa"/>
              <w:widowControl w:val="0"/>
              <w:numPr>
                <w:ilvl w:val="0"/>
                <w:numId w:val="27"/>
              </w:numPr>
              <w:autoSpaceDE w:val="0"/>
              <w:autoSpaceDN w:val="0"/>
            </w:pPr>
            <w:r>
              <w:t>на балансовую стоимость инвестиций</w:t>
            </w:r>
          </w:p>
        </w:tc>
        <w:tc>
          <w:tcPr>
            <w:tcW w:w="1559" w:type="dxa"/>
            <w:tcBorders>
              <w:top w:val="single" w:sz="4" w:space="0" w:color="auto"/>
            </w:tcBorders>
            <w:vAlign w:val="center"/>
          </w:tcPr>
          <w:p w:rsidR="00AB37B5" w:rsidRDefault="00AB37B5" w:rsidP="009322FA">
            <w:pPr>
              <w:widowControl w:val="0"/>
              <w:autoSpaceDE w:val="0"/>
              <w:autoSpaceDN w:val="0"/>
              <w:jc w:val="center"/>
            </w:pPr>
            <w:r>
              <w:t>1140, 1150</w:t>
            </w:r>
          </w:p>
        </w:tc>
        <w:tc>
          <w:tcPr>
            <w:tcW w:w="1757" w:type="dxa"/>
            <w:tcBorders>
              <w:top w:val="single" w:sz="4" w:space="0" w:color="auto"/>
            </w:tcBorders>
            <w:vAlign w:val="center"/>
          </w:tcPr>
          <w:p w:rsidR="00AB37B5" w:rsidRDefault="00AB37B5" w:rsidP="009322FA">
            <w:pPr>
              <w:widowControl w:val="0"/>
              <w:autoSpaceDE w:val="0"/>
              <w:autoSpaceDN w:val="0"/>
              <w:jc w:val="center"/>
            </w:pPr>
            <w:r>
              <w:t>2020, 2040</w:t>
            </w:r>
          </w:p>
        </w:tc>
      </w:tr>
      <w:tr w:rsidR="00AB37B5" w:rsidRPr="00B00DA2">
        <w:trPr>
          <w:trHeight w:val="600"/>
        </w:trPr>
        <w:tc>
          <w:tcPr>
            <w:tcW w:w="624" w:type="dxa"/>
            <w:vMerge/>
            <w:tcMar>
              <w:left w:w="57" w:type="dxa"/>
              <w:right w:w="57" w:type="dxa"/>
            </w:tcMar>
            <w:vAlign w:val="center"/>
          </w:tcPr>
          <w:p w:rsidR="00AB37B5" w:rsidRDefault="00AB37B5" w:rsidP="009322FA">
            <w:pPr>
              <w:widowControl w:val="0"/>
              <w:autoSpaceDE w:val="0"/>
              <w:autoSpaceDN w:val="0"/>
              <w:jc w:val="center"/>
            </w:pPr>
          </w:p>
        </w:tc>
        <w:tc>
          <w:tcPr>
            <w:tcW w:w="5529" w:type="dxa"/>
            <w:tcBorders>
              <w:top w:val="single" w:sz="4" w:space="0" w:color="auto"/>
              <w:bottom w:val="single" w:sz="4" w:space="0" w:color="auto"/>
            </w:tcBorders>
            <w:vAlign w:val="center"/>
          </w:tcPr>
          <w:p w:rsidR="00AB37B5" w:rsidRDefault="00AB37B5" w:rsidP="009322FA">
            <w:pPr>
              <w:pStyle w:val="aa"/>
              <w:widowControl w:val="0"/>
              <w:numPr>
                <w:ilvl w:val="0"/>
                <w:numId w:val="27"/>
              </w:numPr>
              <w:autoSpaceDE w:val="0"/>
              <w:autoSpaceDN w:val="0"/>
            </w:pPr>
            <w:r>
              <w:t xml:space="preserve">на сумму превышения справедливой стоимости инвестиций над балансовой </w:t>
            </w:r>
          </w:p>
        </w:tc>
        <w:tc>
          <w:tcPr>
            <w:tcW w:w="1559"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1140, 1150</w:t>
            </w:r>
          </w:p>
        </w:tc>
        <w:tc>
          <w:tcPr>
            <w:tcW w:w="1757"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6150</w:t>
            </w:r>
          </w:p>
        </w:tc>
      </w:tr>
      <w:tr w:rsidR="00AB37B5" w:rsidRPr="00B00DA2">
        <w:trPr>
          <w:trHeight w:val="273"/>
        </w:trPr>
        <w:tc>
          <w:tcPr>
            <w:tcW w:w="624" w:type="dxa"/>
            <w:tcMar>
              <w:left w:w="57" w:type="dxa"/>
              <w:right w:w="57" w:type="dxa"/>
            </w:tcMar>
            <w:vAlign w:val="center"/>
          </w:tcPr>
          <w:p w:rsidR="00AB37B5" w:rsidRDefault="00AB37B5" w:rsidP="009322FA">
            <w:pPr>
              <w:widowControl w:val="0"/>
              <w:autoSpaceDE w:val="0"/>
              <w:autoSpaceDN w:val="0"/>
              <w:jc w:val="center"/>
            </w:pPr>
            <w:r>
              <w:t>5</w:t>
            </w:r>
          </w:p>
        </w:tc>
        <w:tc>
          <w:tcPr>
            <w:tcW w:w="5529" w:type="dxa"/>
            <w:tcBorders>
              <w:top w:val="single" w:sz="4" w:space="0" w:color="auto"/>
              <w:bottom w:val="single" w:sz="4" w:space="0" w:color="auto"/>
            </w:tcBorders>
            <w:vAlign w:val="center"/>
          </w:tcPr>
          <w:p w:rsidR="00AB37B5" w:rsidRDefault="00AB37B5" w:rsidP="009322FA">
            <w:pPr>
              <w:widowControl w:val="0"/>
              <w:autoSpaceDE w:val="0"/>
              <w:autoSpaceDN w:val="0"/>
            </w:pPr>
            <w:r>
              <w:t>Перевод долгосрочных инвестиций, удерживае</w:t>
            </w:r>
            <w:r w:rsidR="004F630D">
              <w:softHyphen/>
            </w:r>
            <w:r>
              <w:t>мых до погашения, в краткосрочные инвестиции, удерживаемые до погашения</w:t>
            </w:r>
          </w:p>
        </w:tc>
        <w:tc>
          <w:tcPr>
            <w:tcW w:w="1559"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1130</w:t>
            </w:r>
          </w:p>
        </w:tc>
        <w:tc>
          <w:tcPr>
            <w:tcW w:w="1757"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2020</w:t>
            </w:r>
          </w:p>
        </w:tc>
      </w:tr>
      <w:tr w:rsidR="00AB37B5" w:rsidRPr="00B00DA2">
        <w:trPr>
          <w:trHeight w:val="600"/>
        </w:trPr>
        <w:tc>
          <w:tcPr>
            <w:tcW w:w="624" w:type="dxa"/>
            <w:tcMar>
              <w:left w:w="57" w:type="dxa"/>
              <w:right w:w="57" w:type="dxa"/>
            </w:tcMar>
            <w:vAlign w:val="center"/>
          </w:tcPr>
          <w:p w:rsidR="00AB37B5" w:rsidRDefault="00AB37B5" w:rsidP="009322FA">
            <w:pPr>
              <w:widowControl w:val="0"/>
              <w:autoSpaceDE w:val="0"/>
              <w:autoSpaceDN w:val="0"/>
              <w:jc w:val="center"/>
            </w:pPr>
            <w:r>
              <w:t>6</w:t>
            </w:r>
          </w:p>
        </w:tc>
        <w:tc>
          <w:tcPr>
            <w:tcW w:w="5529" w:type="dxa"/>
            <w:tcBorders>
              <w:top w:val="single" w:sz="4" w:space="0" w:color="auto"/>
              <w:bottom w:val="single" w:sz="4" w:space="0" w:color="auto"/>
            </w:tcBorders>
            <w:vAlign w:val="center"/>
          </w:tcPr>
          <w:p w:rsidR="00AB37B5" w:rsidRDefault="00AB37B5" w:rsidP="009322FA">
            <w:pPr>
              <w:widowControl w:val="0"/>
              <w:autoSpaceDE w:val="0"/>
              <w:autoSpaceDN w:val="0"/>
            </w:pPr>
            <w:r>
              <w:t>Списание балансовой стоимости долгосрочных фин. инвестиций при их выбытии</w:t>
            </w:r>
          </w:p>
        </w:tc>
        <w:tc>
          <w:tcPr>
            <w:tcW w:w="1559"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7410</w:t>
            </w:r>
          </w:p>
        </w:tc>
        <w:tc>
          <w:tcPr>
            <w:tcW w:w="1757" w:type="dxa"/>
            <w:tcBorders>
              <w:top w:val="single" w:sz="4" w:space="0" w:color="auto"/>
              <w:bottom w:val="single" w:sz="4" w:space="0" w:color="auto"/>
            </w:tcBorders>
            <w:vAlign w:val="center"/>
          </w:tcPr>
          <w:p w:rsidR="00AB37B5" w:rsidRDefault="00AB37B5" w:rsidP="009322FA">
            <w:pPr>
              <w:widowControl w:val="0"/>
              <w:autoSpaceDE w:val="0"/>
              <w:autoSpaceDN w:val="0"/>
              <w:jc w:val="center"/>
            </w:pPr>
            <w:r>
              <w:t>2020-2040</w:t>
            </w:r>
          </w:p>
        </w:tc>
      </w:tr>
      <w:tr w:rsidR="00AB37B5" w:rsidRPr="00B00DA2">
        <w:trPr>
          <w:trHeight w:val="228"/>
        </w:trPr>
        <w:tc>
          <w:tcPr>
            <w:tcW w:w="624" w:type="dxa"/>
            <w:tcMar>
              <w:left w:w="57" w:type="dxa"/>
              <w:right w:w="57" w:type="dxa"/>
            </w:tcMar>
            <w:vAlign w:val="center"/>
          </w:tcPr>
          <w:p w:rsidR="00AB37B5" w:rsidRDefault="00AB37B5" w:rsidP="009322FA">
            <w:pPr>
              <w:widowControl w:val="0"/>
              <w:autoSpaceDE w:val="0"/>
              <w:autoSpaceDN w:val="0"/>
              <w:jc w:val="center"/>
            </w:pPr>
            <w:r>
              <w:t>7</w:t>
            </w:r>
          </w:p>
        </w:tc>
        <w:tc>
          <w:tcPr>
            <w:tcW w:w="5529" w:type="dxa"/>
            <w:tcBorders>
              <w:top w:val="single" w:sz="4" w:space="0" w:color="auto"/>
            </w:tcBorders>
            <w:vAlign w:val="center"/>
          </w:tcPr>
          <w:p w:rsidR="00AB37B5" w:rsidRDefault="00AB37B5" w:rsidP="009322FA">
            <w:pPr>
              <w:widowControl w:val="0"/>
              <w:autoSpaceDE w:val="0"/>
              <w:autoSpaceDN w:val="0"/>
            </w:pPr>
            <w:r>
              <w:t>Погашение долгосрочных займов организациями</w:t>
            </w:r>
          </w:p>
        </w:tc>
        <w:tc>
          <w:tcPr>
            <w:tcW w:w="1559" w:type="dxa"/>
            <w:tcBorders>
              <w:top w:val="single" w:sz="4" w:space="0" w:color="auto"/>
            </w:tcBorders>
            <w:vAlign w:val="center"/>
          </w:tcPr>
          <w:p w:rsidR="00AB37B5" w:rsidRDefault="00AB37B5" w:rsidP="009322FA">
            <w:pPr>
              <w:widowControl w:val="0"/>
              <w:autoSpaceDE w:val="0"/>
              <w:autoSpaceDN w:val="0"/>
              <w:jc w:val="center"/>
            </w:pPr>
            <w:r>
              <w:t>1010, 1030</w:t>
            </w:r>
          </w:p>
        </w:tc>
        <w:tc>
          <w:tcPr>
            <w:tcW w:w="1757" w:type="dxa"/>
            <w:tcBorders>
              <w:top w:val="single" w:sz="4" w:space="0" w:color="auto"/>
            </w:tcBorders>
            <w:vAlign w:val="center"/>
          </w:tcPr>
          <w:p w:rsidR="00AB37B5" w:rsidRDefault="00AB37B5" w:rsidP="009322FA">
            <w:pPr>
              <w:widowControl w:val="0"/>
              <w:autoSpaceDE w:val="0"/>
              <w:autoSpaceDN w:val="0"/>
              <w:jc w:val="center"/>
            </w:pPr>
            <w:r>
              <w:t>2010</w:t>
            </w:r>
          </w:p>
        </w:tc>
      </w:tr>
    </w:tbl>
    <w:p w:rsidR="00403EDE" w:rsidRPr="00A600E4" w:rsidRDefault="00A600E4" w:rsidP="00972791">
      <w:pPr>
        <w:pageBreakBefore/>
        <w:widowControl w:val="0"/>
        <w:autoSpaceDE w:val="0"/>
        <w:autoSpaceDN w:val="0"/>
        <w:spacing w:after="120"/>
        <w:jc w:val="center"/>
        <w:rPr>
          <w:b/>
          <w:caps/>
          <w:sz w:val="28"/>
          <w:szCs w:val="28"/>
        </w:rPr>
      </w:pPr>
      <w:r w:rsidRPr="00A600E4">
        <w:rPr>
          <w:b/>
          <w:caps/>
          <w:sz w:val="28"/>
          <w:szCs w:val="28"/>
        </w:rPr>
        <w:t>Заключение</w:t>
      </w:r>
    </w:p>
    <w:p w:rsidR="00A600E4" w:rsidRDefault="00CE54EF" w:rsidP="009A0246">
      <w:pPr>
        <w:widowControl w:val="0"/>
        <w:autoSpaceDE w:val="0"/>
        <w:autoSpaceDN w:val="0"/>
        <w:ind w:firstLine="720"/>
        <w:jc w:val="both"/>
        <w:rPr>
          <w:sz w:val="28"/>
          <w:szCs w:val="28"/>
        </w:rPr>
      </w:pPr>
      <w:r>
        <w:rPr>
          <w:sz w:val="28"/>
          <w:szCs w:val="28"/>
        </w:rPr>
        <w:t>Инвестиции – важный фактор обеспечения высоких и устойчивых темпов развития экономики, внедрения достижений научно-технического прогресса, развития инфраструктуры.</w:t>
      </w:r>
    </w:p>
    <w:p w:rsidR="00CE54EF" w:rsidRDefault="00CE54EF" w:rsidP="009A0246">
      <w:pPr>
        <w:widowControl w:val="0"/>
        <w:autoSpaceDE w:val="0"/>
        <w:autoSpaceDN w:val="0"/>
        <w:ind w:firstLine="720"/>
        <w:jc w:val="both"/>
        <w:rPr>
          <w:sz w:val="28"/>
          <w:szCs w:val="28"/>
        </w:rPr>
      </w:pPr>
      <w:r>
        <w:rPr>
          <w:sz w:val="28"/>
          <w:szCs w:val="28"/>
        </w:rPr>
        <w:t>В деле развития особая роль принадлежит инвестиционным банкам, специализирующимся на финансировании и долгосрочном кредитовании предприятий, и инвестиционным фондам, создаваемым для непосредственного проведения процесса создания акционерных обществ, распоряжения принадлежащим государству пакетов акций, проведения обмена и реализации акций предприятий. Тем самым фонды способствуют переливанию капитала в наиболее доходные отрасли экономики и предприятий.</w:t>
      </w:r>
    </w:p>
    <w:p w:rsidR="00CE54EF" w:rsidRDefault="00CE54EF" w:rsidP="009A0246">
      <w:pPr>
        <w:widowControl w:val="0"/>
        <w:autoSpaceDE w:val="0"/>
        <w:autoSpaceDN w:val="0"/>
        <w:ind w:firstLine="720"/>
        <w:jc w:val="both"/>
        <w:rPr>
          <w:sz w:val="28"/>
          <w:szCs w:val="28"/>
        </w:rPr>
      </w:pPr>
      <w:r>
        <w:rPr>
          <w:sz w:val="28"/>
          <w:szCs w:val="28"/>
        </w:rPr>
        <w:t>Следует иметь в виду, что финансовые инвестиции связаны с определенным риском для инвесторов как при внутренних, так и при внешних инвестициях. Этот риск связан с возможным неквалифицированным руководством, плохой организацией учета и контроля, изменениями в курсах валют, процентных ставках, трудностями привлечения среднесрочных и краткосрочных кредитов и т.д. Существует также риск стихийных бедствий и политический риск, который должны учитывать инвесторы.</w:t>
      </w:r>
    </w:p>
    <w:p w:rsidR="00CE54EF" w:rsidRDefault="00CE54EF" w:rsidP="009A0246">
      <w:pPr>
        <w:widowControl w:val="0"/>
        <w:autoSpaceDE w:val="0"/>
        <w:autoSpaceDN w:val="0"/>
        <w:ind w:firstLine="720"/>
        <w:jc w:val="both"/>
        <w:rPr>
          <w:sz w:val="28"/>
          <w:szCs w:val="28"/>
        </w:rPr>
      </w:pPr>
      <w:r>
        <w:rPr>
          <w:sz w:val="28"/>
          <w:szCs w:val="28"/>
        </w:rPr>
        <w:t>Законодательство Республики Казахстан направлено на поддержку инвестиций в различные отрасли экономики. В республике разработана система льгот и преференций</w:t>
      </w:r>
      <w:r w:rsidR="00972791">
        <w:rPr>
          <w:sz w:val="28"/>
          <w:szCs w:val="28"/>
        </w:rPr>
        <w:t>, направленная на эффективную реализацию инвестиционных проектов.</w:t>
      </w:r>
    </w:p>
    <w:p w:rsidR="00972791" w:rsidRDefault="00972791" w:rsidP="009A0246">
      <w:pPr>
        <w:widowControl w:val="0"/>
        <w:autoSpaceDE w:val="0"/>
        <w:autoSpaceDN w:val="0"/>
        <w:ind w:firstLine="720"/>
        <w:jc w:val="both"/>
        <w:rPr>
          <w:sz w:val="28"/>
          <w:szCs w:val="28"/>
        </w:rPr>
      </w:pPr>
      <w:r>
        <w:rPr>
          <w:sz w:val="28"/>
          <w:szCs w:val="28"/>
        </w:rPr>
        <w:t>Так, например, Налоговым Кодексом РК предусмотрены инвестиционные налоговые преференции по КПН и налогу на имущество. Инвестиционные налоговые преференции – это предоставление права на дополнительные вычеты из совокупного годового дохода налогоплательщиков, осуществляющих инвестиции в основные средства с целью создания новых, расширения и обновления действующих производств, а также освобождение таких налогоплательщиков от уплаты налога на имущество по основным средствам, вновь введенным в эксплуатацию в рамках инвестиционного проекта.</w:t>
      </w:r>
    </w:p>
    <w:p w:rsidR="00972791" w:rsidRDefault="00972791" w:rsidP="009A0246">
      <w:pPr>
        <w:widowControl w:val="0"/>
        <w:autoSpaceDE w:val="0"/>
        <w:autoSpaceDN w:val="0"/>
        <w:ind w:firstLine="720"/>
        <w:jc w:val="both"/>
        <w:rPr>
          <w:sz w:val="28"/>
          <w:szCs w:val="28"/>
        </w:rPr>
      </w:pPr>
      <w:r>
        <w:rPr>
          <w:sz w:val="28"/>
          <w:szCs w:val="28"/>
        </w:rPr>
        <w:t>Целью инвестиций, в конечном итого, является: внедрение новых технологий, передовой техники и «ноу-хау»; насыщение внутреннего рынка высококачественными товарами и услугами; государственная поддержка и стимулирование отечественных товаропроизводителей; рациональное и комплексное использование сырьевой базы РК; улучшение окружающей природной среды.</w:t>
      </w:r>
    </w:p>
    <w:p w:rsidR="00972791" w:rsidRDefault="00972791" w:rsidP="009A0246">
      <w:pPr>
        <w:widowControl w:val="0"/>
        <w:autoSpaceDE w:val="0"/>
        <w:autoSpaceDN w:val="0"/>
        <w:ind w:firstLine="720"/>
        <w:jc w:val="both"/>
        <w:rPr>
          <w:sz w:val="28"/>
          <w:szCs w:val="28"/>
        </w:rPr>
      </w:pPr>
      <w:r>
        <w:rPr>
          <w:sz w:val="28"/>
          <w:szCs w:val="28"/>
        </w:rPr>
        <w:t>Важная роль в деле подъема и развития отраслей экономики республики принадлежит иностранным инвестициям.</w:t>
      </w:r>
    </w:p>
    <w:p w:rsidR="00A600E4" w:rsidRDefault="00A600E4" w:rsidP="009A0246">
      <w:pPr>
        <w:widowControl w:val="0"/>
        <w:autoSpaceDE w:val="0"/>
        <w:autoSpaceDN w:val="0"/>
        <w:ind w:firstLine="720"/>
        <w:jc w:val="both"/>
        <w:rPr>
          <w:sz w:val="28"/>
          <w:szCs w:val="28"/>
        </w:rPr>
      </w:pPr>
    </w:p>
    <w:p w:rsidR="00A600E4" w:rsidRDefault="00A600E4" w:rsidP="009A0246">
      <w:pPr>
        <w:widowControl w:val="0"/>
        <w:autoSpaceDE w:val="0"/>
        <w:autoSpaceDN w:val="0"/>
        <w:ind w:firstLine="720"/>
        <w:jc w:val="both"/>
        <w:rPr>
          <w:sz w:val="28"/>
          <w:szCs w:val="28"/>
        </w:rPr>
      </w:pPr>
    </w:p>
    <w:p w:rsidR="00403EDE" w:rsidRPr="00802241" w:rsidRDefault="00403EDE" w:rsidP="00A94B1A">
      <w:pPr>
        <w:pageBreakBefore/>
        <w:widowControl w:val="0"/>
        <w:autoSpaceDE w:val="0"/>
        <w:autoSpaceDN w:val="0"/>
        <w:spacing w:after="240"/>
        <w:jc w:val="center"/>
        <w:rPr>
          <w:b/>
          <w:caps/>
          <w:sz w:val="28"/>
          <w:szCs w:val="28"/>
        </w:rPr>
      </w:pPr>
      <w:r w:rsidRPr="00802241">
        <w:rPr>
          <w:b/>
          <w:caps/>
          <w:sz w:val="28"/>
          <w:szCs w:val="28"/>
        </w:rPr>
        <w:t>Список литературы</w:t>
      </w:r>
    </w:p>
    <w:p w:rsidR="00802241" w:rsidRDefault="00A94B1A"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Международные стандарты финансовой отчетности №№ 7, 32, 39.</w:t>
      </w:r>
    </w:p>
    <w:p w:rsidR="00A94B1A" w:rsidRDefault="00A94B1A"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МСФО:</w:t>
      </w:r>
      <w:r w:rsidRPr="00A94B1A">
        <w:rPr>
          <w:sz w:val="28"/>
          <w:szCs w:val="28"/>
        </w:rPr>
        <w:t xml:space="preserve"> </w:t>
      </w:r>
      <w:r>
        <w:rPr>
          <w:sz w:val="28"/>
          <w:szCs w:val="28"/>
        </w:rPr>
        <w:t>теория и практика. Справочное руководство. Нурсеитов</w:t>
      </w:r>
      <w:r w:rsidRPr="00A94B1A">
        <w:rPr>
          <w:sz w:val="28"/>
          <w:szCs w:val="28"/>
        </w:rPr>
        <w:t xml:space="preserve"> </w:t>
      </w:r>
      <w:r>
        <w:rPr>
          <w:sz w:val="28"/>
          <w:szCs w:val="28"/>
        </w:rPr>
        <w:t>Э.О., Нурсеитов Д.Э. Алматы, 2007.</w:t>
      </w:r>
    </w:p>
    <w:p w:rsidR="00B77F54" w:rsidRDefault="00B77F54"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Бухгалтерский и налоговый учет в Казахстане. Выпуск 2, 2008. Учет запасов, инвестиций, основных средств, нематериальных активов.</w:t>
      </w:r>
    </w:p>
    <w:p w:rsidR="00A94B1A" w:rsidRDefault="00A94B1A"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Радостовец В.К., Радостовец В.В., Шмидт О.И. Бухгалтерский учет на предприятии. Алматы, 2002.</w:t>
      </w:r>
    </w:p>
    <w:p w:rsidR="00A94B1A" w:rsidRDefault="00A94B1A"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Журнал «Бюллетень бухгалтера» - МСФО» № 5, 2006. Методические рекомендации МФ РК по применению МСФО №№ 7, 32, 39.</w:t>
      </w:r>
    </w:p>
    <w:p w:rsidR="00A94B1A" w:rsidRDefault="00A94B1A"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 xml:space="preserve">Журнал «Бюллетень бухгалтера» - МСФО» № 7, 2007. </w:t>
      </w:r>
      <w:r w:rsidR="00E174FF">
        <w:rPr>
          <w:sz w:val="28"/>
          <w:szCs w:val="28"/>
        </w:rPr>
        <w:t xml:space="preserve">Тулахаджиева М. </w:t>
      </w:r>
      <w:r>
        <w:rPr>
          <w:sz w:val="28"/>
          <w:szCs w:val="28"/>
        </w:rPr>
        <w:t xml:space="preserve">Учет инвестиций в ценные бумаги. </w:t>
      </w:r>
    </w:p>
    <w:p w:rsidR="00A94B1A" w:rsidRDefault="00A94B1A"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Журнал «Библиотека бухгалтера и предпринимателя»</w:t>
      </w:r>
      <w:r w:rsidR="00A20119">
        <w:rPr>
          <w:sz w:val="28"/>
          <w:szCs w:val="28"/>
        </w:rPr>
        <w:t xml:space="preserve"> № 11, 2008. Финансовые активы и финансовые обязательства в условиях НСФО № 2.</w:t>
      </w:r>
    </w:p>
    <w:p w:rsidR="00A20119" w:rsidRPr="00A94B1A" w:rsidRDefault="00A20119" w:rsidP="00A94B1A">
      <w:pPr>
        <w:pStyle w:val="aa"/>
        <w:widowControl w:val="0"/>
        <w:numPr>
          <w:ilvl w:val="0"/>
          <w:numId w:val="28"/>
        </w:numPr>
        <w:tabs>
          <w:tab w:val="left" w:pos="426"/>
        </w:tabs>
        <w:autoSpaceDE w:val="0"/>
        <w:autoSpaceDN w:val="0"/>
        <w:ind w:left="426" w:hanging="426"/>
        <w:jc w:val="both"/>
        <w:rPr>
          <w:sz w:val="28"/>
          <w:szCs w:val="28"/>
        </w:rPr>
      </w:pPr>
      <w:r>
        <w:rPr>
          <w:sz w:val="28"/>
          <w:szCs w:val="28"/>
        </w:rPr>
        <w:t>Журнал «Библиотека бухгалтера и предпринимателя» №№ 11, 12. Типовой план счетов: методические рекомендации по составлению корреспонденции счетов. Часть 1, 2.</w:t>
      </w:r>
    </w:p>
    <w:p w:rsidR="00802241" w:rsidRDefault="00802241" w:rsidP="009A0246">
      <w:pPr>
        <w:widowControl w:val="0"/>
        <w:autoSpaceDE w:val="0"/>
        <w:autoSpaceDN w:val="0"/>
        <w:ind w:firstLine="720"/>
        <w:jc w:val="both"/>
        <w:rPr>
          <w:sz w:val="28"/>
          <w:szCs w:val="28"/>
        </w:rPr>
      </w:pPr>
    </w:p>
    <w:p w:rsidR="00802241" w:rsidRPr="009A0246" w:rsidRDefault="00802241" w:rsidP="009A0246">
      <w:pPr>
        <w:widowControl w:val="0"/>
        <w:autoSpaceDE w:val="0"/>
        <w:autoSpaceDN w:val="0"/>
        <w:ind w:firstLine="720"/>
        <w:jc w:val="both"/>
        <w:rPr>
          <w:sz w:val="28"/>
          <w:szCs w:val="28"/>
        </w:rPr>
      </w:pPr>
      <w:bookmarkStart w:id="0" w:name="_GoBack"/>
      <w:bookmarkEnd w:id="0"/>
    </w:p>
    <w:sectPr w:rsidR="00802241" w:rsidRPr="009A0246" w:rsidSect="0085678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7B" w:rsidRDefault="00A3097B">
      <w:r>
        <w:separator/>
      </w:r>
    </w:p>
  </w:endnote>
  <w:endnote w:type="continuationSeparator" w:id="0">
    <w:p w:rsidR="00A3097B" w:rsidRDefault="00A3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1A" w:rsidRDefault="00B45231" w:rsidP="00940F22">
    <w:pPr>
      <w:pStyle w:val="a5"/>
      <w:framePr w:wrap="around" w:vAnchor="text" w:hAnchor="margin" w:xAlign="center" w:y="1"/>
      <w:rPr>
        <w:rStyle w:val="a6"/>
      </w:rPr>
    </w:pPr>
    <w:r>
      <w:rPr>
        <w:rStyle w:val="a6"/>
      </w:rPr>
      <w:fldChar w:fldCharType="begin"/>
    </w:r>
    <w:r w:rsidR="00A94B1A">
      <w:rPr>
        <w:rStyle w:val="a6"/>
      </w:rPr>
      <w:instrText xml:space="preserve">PAGE  </w:instrText>
    </w:r>
    <w:r>
      <w:rPr>
        <w:rStyle w:val="a6"/>
      </w:rPr>
      <w:fldChar w:fldCharType="end"/>
    </w:r>
  </w:p>
  <w:p w:rsidR="00A94B1A" w:rsidRDefault="00A94B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1A" w:rsidRDefault="00B45231" w:rsidP="00940F22">
    <w:pPr>
      <w:pStyle w:val="a5"/>
      <w:framePr w:wrap="around" w:vAnchor="text" w:hAnchor="margin" w:xAlign="center" w:y="1"/>
      <w:rPr>
        <w:rStyle w:val="a6"/>
      </w:rPr>
    </w:pPr>
    <w:r>
      <w:rPr>
        <w:rStyle w:val="a6"/>
      </w:rPr>
      <w:fldChar w:fldCharType="begin"/>
    </w:r>
    <w:r w:rsidR="00A94B1A">
      <w:rPr>
        <w:rStyle w:val="a6"/>
      </w:rPr>
      <w:instrText xml:space="preserve">PAGE  </w:instrText>
    </w:r>
    <w:r>
      <w:rPr>
        <w:rStyle w:val="a6"/>
      </w:rPr>
      <w:fldChar w:fldCharType="separate"/>
    </w:r>
    <w:r w:rsidR="003D1105">
      <w:rPr>
        <w:rStyle w:val="a6"/>
        <w:noProof/>
      </w:rPr>
      <w:t>2</w:t>
    </w:r>
    <w:r>
      <w:rPr>
        <w:rStyle w:val="a6"/>
      </w:rPr>
      <w:fldChar w:fldCharType="end"/>
    </w:r>
  </w:p>
  <w:p w:rsidR="00A94B1A" w:rsidRDefault="00A94B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7B" w:rsidRDefault="00A3097B">
      <w:r>
        <w:separator/>
      </w:r>
    </w:p>
  </w:footnote>
  <w:footnote w:type="continuationSeparator" w:id="0">
    <w:p w:rsidR="00A3097B" w:rsidRDefault="00A30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B7D"/>
    <w:multiLevelType w:val="hybridMultilevel"/>
    <w:tmpl w:val="936045B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313041"/>
    <w:multiLevelType w:val="hybridMultilevel"/>
    <w:tmpl w:val="DBC49D9A"/>
    <w:lvl w:ilvl="0" w:tplc="183E61FA">
      <w:start w:val="2"/>
      <w:numFmt w:val="decimal"/>
      <w:lvlText w:val="%1.2."/>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4D83"/>
    <w:multiLevelType w:val="hybridMultilevel"/>
    <w:tmpl w:val="9B0A48E6"/>
    <w:lvl w:ilvl="0" w:tplc="F6941BE4">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C74ED"/>
    <w:multiLevelType w:val="hybridMultilevel"/>
    <w:tmpl w:val="DE029DC4"/>
    <w:lvl w:ilvl="0" w:tplc="01B604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483AA1"/>
    <w:multiLevelType w:val="hybridMultilevel"/>
    <w:tmpl w:val="E86032DE"/>
    <w:lvl w:ilvl="0" w:tplc="01B60408">
      <w:start w:val="1"/>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10680E21"/>
    <w:multiLevelType w:val="hybridMultilevel"/>
    <w:tmpl w:val="BC70CA3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0A839D9"/>
    <w:multiLevelType w:val="hybridMultilevel"/>
    <w:tmpl w:val="E3F267F6"/>
    <w:lvl w:ilvl="0" w:tplc="01B6040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1C12C9"/>
    <w:multiLevelType w:val="hybridMultilevel"/>
    <w:tmpl w:val="936045B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9E66C1"/>
    <w:multiLevelType w:val="hybridMultilevel"/>
    <w:tmpl w:val="A2507D30"/>
    <w:lvl w:ilvl="0" w:tplc="01B604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350C15"/>
    <w:multiLevelType w:val="hybridMultilevel"/>
    <w:tmpl w:val="6C38067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nsid w:val="1F070206"/>
    <w:multiLevelType w:val="hybridMultilevel"/>
    <w:tmpl w:val="972014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2F28B2"/>
    <w:multiLevelType w:val="hybridMultilevel"/>
    <w:tmpl w:val="BECE6552"/>
    <w:lvl w:ilvl="0" w:tplc="92089FD6">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FF5A11"/>
    <w:multiLevelType w:val="hybridMultilevel"/>
    <w:tmpl w:val="F77837BE"/>
    <w:lvl w:ilvl="0" w:tplc="42C028FC">
      <w:start w:val="1"/>
      <w:numFmt w:val="bullet"/>
      <w:lvlText w:val=""/>
      <w:lvlJc w:val="left"/>
      <w:pPr>
        <w:tabs>
          <w:tab w:val="num" w:pos="1684"/>
        </w:tabs>
        <w:ind w:left="1684" w:hanging="25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8E16D93"/>
    <w:multiLevelType w:val="hybridMultilevel"/>
    <w:tmpl w:val="FF18C680"/>
    <w:lvl w:ilvl="0" w:tplc="D992306E">
      <w:start w:val="2"/>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43558"/>
    <w:multiLevelType w:val="hybridMultilevel"/>
    <w:tmpl w:val="835A8236"/>
    <w:lvl w:ilvl="0" w:tplc="01B604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6524EC"/>
    <w:multiLevelType w:val="hybridMultilevel"/>
    <w:tmpl w:val="6024990E"/>
    <w:lvl w:ilvl="0" w:tplc="01B604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6E0D15"/>
    <w:multiLevelType w:val="hybridMultilevel"/>
    <w:tmpl w:val="03C26C44"/>
    <w:lvl w:ilvl="0" w:tplc="5D947272">
      <w:start w:val="1"/>
      <w:numFmt w:val="decimal"/>
      <w:lvlText w:val="%1."/>
      <w:lvlJc w:val="left"/>
      <w:pPr>
        <w:tabs>
          <w:tab w:val="num" w:pos="870"/>
        </w:tabs>
        <w:ind w:left="870" w:hanging="510"/>
      </w:pPr>
    </w:lvl>
    <w:lvl w:ilvl="1" w:tplc="DA8CD38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D15EF9"/>
    <w:multiLevelType w:val="hybridMultilevel"/>
    <w:tmpl w:val="FE2438AC"/>
    <w:lvl w:ilvl="0" w:tplc="D992306E">
      <w:start w:val="2"/>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0E0227"/>
    <w:multiLevelType w:val="hybridMultilevel"/>
    <w:tmpl w:val="6CF6806C"/>
    <w:lvl w:ilvl="0" w:tplc="F6861C00">
      <w:start w:val="1"/>
      <w:numFmt w:val="russianLow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9">
    <w:nsid w:val="43EB40A5"/>
    <w:multiLevelType w:val="hybridMultilevel"/>
    <w:tmpl w:val="EAA4432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4E4724E"/>
    <w:multiLevelType w:val="hybridMultilevel"/>
    <w:tmpl w:val="C3A40380"/>
    <w:lvl w:ilvl="0" w:tplc="01B6040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3A34371"/>
    <w:multiLevelType w:val="hybridMultilevel"/>
    <w:tmpl w:val="9746C328"/>
    <w:lvl w:ilvl="0" w:tplc="F6861C00">
      <w:start w:val="1"/>
      <w:numFmt w:val="russianLow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2">
    <w:nsid w:val="666A398D"/>
    <w:multiLevelType w:val="hybridMultilevel"/>
    <w:tmpl w:val="10726546"/>
    <w:lvl w:ilvl="0" w:tplc="01B604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7C344F"/>
    <w:multiLevelType w:val="hybridMultilevel"/>
    <w:tmpl w:val="001A4B2E"/>
    <w:lvl w:ilvl="0" w:tplc="E4202D4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B92E6B"/>
    <w:multiLevelType w:val="hybridMultilevel"/>
    <w:tmpl w:val="9746C328"/>
    <w:lvl w:ilvl="0" w:tplc="F6861C00">
      <w:start w:val="1"/>
      <w:numFmt w:val="russianLow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5">
    <w:nsid w:val="754224AA"/>
    <w:multiLevelType w:val="hybridMultilevel"/>
    <w:tmpl w:val="9746C328"/>
    <w:lvl w:ilvl="0" w:tplc="F6861C00">
      <w:start w:val="1"/>
      <w:numFmt w:val="russianLow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6">
    <w:nsid w:val="7E710342"/>
    <w:multiLevelType w:val="multilevel"/>
    <w:tmpl w:val="A942F8D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6"/>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20"/>
  </w:num>
  <w:num w:numId="7">
    <w:abstractNumId w:val="3"/>
  </w:num>
  <w:num w:numId="8">
    <w:abstractNumId w:val="6"/>
  </w:num>
  <w:num w:numId="9">
    <w:abstractNumId w:val="23"/>
  </w:num>
  <w:num w:numId="10">
    <w:abstractNumId w:val="13"/>
  </w:num>
  <w:num w:numId="11">
    <w:abstractNumId w:val="17"/>
  </w:num>
  <w:num w:numId="12">
    <w:abstractNumId w:val="2"/>
  </w:num>
  <w:num w:numId="13">
    <w:abstractNumId w:val="1"/>
  </w:num>
  <w:num w:numId="14">
    <w:abstractNumId w:val="14"/>
  </w:num>
  <w:num w:numId="15">
    <w:abstractNumId w:val="10"/>
  </w:num>
  <w:num w:numId="16">
    <w:abstractNumId w:val="15"/>
  </w:num>
  <w:num w:numId="17">
    <w:abstractNumId w:val="9"/>
  </w:num>
  <w:num w:numId="18">
    <w:abstractNumId w:val="19"/>
  </w:num>
  <w:num w:numId="19">
    <w:abstractNumId w:val="8"/>
  </w:num>
  <w:num w:numId="20">
    <w:abstractNumId w:val="11"/>
  </w:num>
  <w:num w:numId="21">
    <w:abstractNumId w:val="7"/>
  </w:num>
  <w:num w:numId="22">
    <w:abstractNumId w:val="4"/>
  </w:num>
  <w:num w:numId="23">
    <w:abstractNumId w:val="22"/>
  </w:num>
  <w:num w:numId="24">
    <w:abstractNumId w:val="25"/>
  </w:num>
  <w:num w:numId="25">
    <w:abstractNumId w:val="24"/>
  </w:num>
  <w:num w:numId="26">
    <w:abstractNumId w:val="21"/>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738"/>
    <w:rsid w:val="00013C97"/>
    <w:rsid w:val="0002084D"/>
    <w:rsid w:val="000224C6"/>
    <w:rsid w:val="000313F9"/>
    <w:rsid w:val="00035AB4"/>
    <w:rsid w:val="00043BBC"/>
    <w:rsid w:val="00046E28"/>
    <w:rsid w:val="000968D5"/>
    <w:rsid w:val="000C499B"/>
    <w:rsid w:val="000C701A"/>
    <w:rsid w:val="000D7869"/>
    <w:rsid w:val="000D7DDE"/>
    <w:rsid w:val="000F47D1"/>
    <w:rsid w:val="000F64D8"/>
    <w:rsid w:val="00115981"/>
    <w:rsid w:val="00130EC0"/>
    <w:rsid w:val="00135433"/>
    <w:rsid w:val="00172606"/>
    <w:rsid w:val="00191C7F"/>
    <w:rsid w:val="00193CBE"/>
    <w:rsid w:val="001B3951"/>
    <w:rsid w:val="001E53D5"/>
    <w:rsid w:val="0021134A"/>
    <w:rsid w:val="002E4277"/>
    <w:rsid w:val="00313AFF"/>
    <w:rsid w:val="00317445"/>
    <w:rsid w:val="00317AAE"/>
    <w:rsid w:val="003210A4"/>
    <w:rsid w:val="0032318E"/>
    <w:rsid w:val="00333B92"/>
    <w:rsid w:val="00337C7D"/>
    <w:rsid w:val="00347DD0"/>
    <w:rsid w:val="003621B2"/>
    <w:rsid w:val="00386213"/>
    <w:rsid w:val="0039278C"/>
    <w:rsid w:val="003A28F7"/>
    <w:rsid w:val="003B3027"/>
    <w:rsid w:val="003D1105"/>
    <w:rsid w:val="003E6D75"/>
    <w:rsid w:val="003F5BB2"/>
    <w:rsid w:val="00403EDE"/>
    <w:rsid w:val="00411B7B"/>
    <w:rsid w:val="00415509"/>
    <w:rsid w:val="0042362F"/>
    <w:rsid w:val="00475F62"/>
    <w:rsid w:val="00490CAC"/>
    <w:rsid w:val="004B3B02"/>
    <w:rsid w:val="004B4A20"/>
    <w:rsid w:val="004E77F4"/>
    <w:rsid w:val="004F093C"/>
    <w:rsid w:val="004F630D"/>
    <w:rsid w:val="004F7CB7"/>
    <w:rsid w:val="00521040"/>
    <w:rsid w:val="005219EB"/>
    <w:rsid w:val="0056755D"/>
    <w:rsid w:val="0057533D"/>
    <w:rsid w:val="005A3EFE"/>
    <w:rsid w:val="005B0556"/>
    <w:rsid w:val="005B06D4"/>
    <w:rsid w:val="005D3A56"/>
    <w:rsid w:val="00604F8E"/>
    <w:rsid w:val="006335BC"/>
    <w:rsid w:val="00660A03"/>
    <w:rsid w:val="00667FC9"/>
    <w:rsid w:val="006B1CFD"/>
    <w:rsid w:val="006C3889"/>
    <w:rsid w:val="006E1E2C"/>
    <w:rsid w:val="00716F43"/>
    <w:rsid w:val="0071716C"/>
    <w:rsid w:val="00723182"/>
    <w:rsid w:val="00725F93"/>
    <w:rsid w:val="007501FE"/>
    <w:rsid w:val="007753DD"/>
    <w:rsid w:val="00784CF2"/>
    <w:rsid w:val="007A4625"/>
    <w:rsid w:val="007D1ABE"/>
    <w:rsid w:val="007E7D5C"/>
    <w:rsid w:val="007F7B5E"/>
    <w:rsid w:val="00802241"/>
    <w:rsid w:val="008050C2"/>
    <w:rsid w:val="00812788"/>
    <w:rsid w:val="008200E7"/>
    <w:rsid w:val="00830E0F"/>
    <w:rsid w:val="00856782"/>
    <w:rsid w:val="008700F5"/>
    <w:rsid w:val="008D22D4"/>
    <w:rsid w:val="008D3C54"/>
    <w:rsid w:val="008E2BA4"/>
    <w:rsid w:val="009102A0"/>
    <w:rsid w:val="0091367B"/>
    <w:rsid w:val="009257A4"/>
    <w:rsid w:val="009322FA"/>
    <w:rsid w:val="00940F22"/>
    <w:rsid w:val="00967A3C"/>
    <w:rsid w:val="00972791"/>
    <w:rsid w:val="00987BE4"/>
    <w:rsid w:val="00993BE4"/>
    <w:rsid w:val="009A0246"/>
    <w:rsid w:val="009E2C67"/>
    <w:rsid w:val="00A164DB"/>
    <w:rsid w:val="00A166AA"/>
    <w:rsid w:val="00A16FCC"/>
    <w:rsid w:val="00A20119"/>
    <w:rsid w:val="00A3097B"/>
    <w:rsid w:val="00A30D8E"/>
    <w:rsid w:val="00A377ED"/>
    <w:rsid w:val="00A600E4"/>
    <w:rsid w:val="00A6317D"/>
    <w:rsid w:val="00A725B2"/>
    <w:rsid w:val="00A81281"/>
    <w:rsid w:val="00A94B1A"/>
    <w:rsid w:val="00AB37B5"/>
    <w:rsid w:val="00B00DA2"/>
    <w:rsid w:val="00B21E6A"/>
    <w:rsid w:val="00B45231"/>
    <w:rsid w:val="00B61DB5"/>
    <w:rsid w:val="00B64997"/>
    <w:rsid w:val="00B7387A"/>
    <w:rsid w:val="00B77F54"/>
    <w:rsid w:val="00BC42D8"/>
    <w:rsid w:val="00BD1AB0"/>
    <w:rsid w:val="00BE514A"/>
    <w:rsid w:val="00C20B96"/>
    <w:rsid w:val="00C3115D"/>
    <w:rsid w:val="00C6043D"/>
    <w:rsid w:val="00C62FBC"/>
    <w:rsid w:val="00C72C5E"/>
    <w:rsid w:val="00C7570F"/>
    <w:rsid w:val="00CD2800"/>
    <w:rsid w:val="00CD6AFA"/>
    <w:rsid w:val="00CE54EF"/>
    <w:rsid w:val="00D05494"/>
    <w:rsid w:val="00D116E7"/>
    <w:rsid w:val="00D21673"/>
    <w:rsid w:val="00D7579D"/>
    <w:rsid w:val="00D86189"/>
    <w:rsid w:val="00D87EDA"/>
    <w:rsid w:val="00DA4E4A"/>
    <w:rsid w:val="00E0088B"/>
    <w:rsid w:val="00E12933"/>
    <w:rsid w:val="00E16212"/>
    <w:rsid w:val="00E174FF"/>
    <w:rsid w:val="00E23B8D"/>
    <w:rsid w:val="00E52ECB"/>
    <w:rsid w:val="00E67AEB"/>
    <w:rsid w:val="00E67E11"/>
    <w:rsid w:val="00E70674"/>
    <w:rsid w:val="00E77299"/>
    <w:rsid w:val="00E90338"/>
    <w:rsid w:val="00E906DC"/>
    <w:rsid w:val="00EA0B29"/>
    <w:rsid w:val="00EB4418"/>
    <w:rsid w:val="00F27C66"/>
    <w:rsid w:val="00F33D16"/>
    <w:rsid w:val="00F64B61"/>
    <w:rsid w:val="00F751F7"/>
    <w:rsid w:val="00F80738"/>
    <w:rsid w:val="00F86457"/>
    <w:rsid w:val="00FB2C2C"/>
    <w:rsid w:val="00FE57EF"/>
    <w:rsid w:val="00FE5FE6"/>
    <w:rsid w:val="00FF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6B9D4F1-BEA4-4EF7-BEC6-738AB4DB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1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28F7"/>
    <w:pPr>
      <w:spacing w:line="360" w:lineRule="auto"/>
      <w:jc w:val="center"/>
    </w:pPr>
    <w:rPr>
      <w:b/>
      <w:bCs/>
      <w:sz w:val="28"/>
      <w:szCs w:val="20"/>
    </w:rPr>
  </w:style>
  <w:style w:type="character" w:customStyle="1" w:styleId="a4">
    <w:name w:val="Название Знак"/>
    <w:basedOn w:val="a0"/>
    <w:link w:val="a3"/>
    <w:rsid w:val="003A28F7"/>
    <w:rPr>
      <w:b/>
      <w:bCs/>
      <w:sz w:val="28"/>
      <w:lang w:val="ru-RU" w:eastAsia="ru-RU" w:bidi="ar-SA"/>
    </w:rPr>
  </w:style>
  <w:style w:type="paragraph" w:styleId="a5">
    <w:name w:val="footer"/>
    <w:basedOn w:val="a"/>
    <w:rsid w:val="00856782"/>
    <w:pPr>
      <w:tabs>
        <w:tab w:val="center" w:pos="4677"/>
        <w:tab w:val="right" w:pos="9355"/>
      </w:tabs>
    </w:pPr>
  </w:style>
  <w:style w:type="character" w:styleId="a6">
    <w:name w:val="page number"/>
    <w:basedOn w:val="a0"/>
    <w:rsid w:val="00856782"/>
  </w:style>
  <w:style w:type="character" w:styleId="a7">
    <w:name w:val="Placeholder Text"/>
    <w:basedOn w:val="a0"/>
    <w:uiPriority w:val="99"/>
    <w:semiHidden/>
    <w:rsid w:val="000224C6"/>
    <w:rPr>
      <w:color w:val="808080"/>
    </w:rPr>
  </w:style>
  <w:style w:type="paragraph" w:styleId="a8">
    <w:name w:val="Balloon Text"/>
    <w:basedOn w:val="a"/>
    <w:link w:val="a9"/>
    <w:rsid w:val="000224C6"/>
    <w:rPr>
      <w:rFonts w:ascii="Tahoma" w:hAnsi="Tahoma" w:cs="Tahoma"/>
      <w:sz w:val="16"/>
      <w:szCs w:val="16"/>
    </w:rPr>
  </w:style>
  <w:style w:type="character" w:customStyle="1" w:styleId="a9">
    <w:name w:val="Текст выноски Знак"/>
    <w:basedOn w:val="a0"/>
    <w:link w:val="a8"/>
    <w:rsid w:val="000224C6"/>
    <w:rPr>
      <w:rFonts w:ascii="Tahoma" w:hAnsi="Tahoma" w:cs="Tahoma"/>
      <w:sz w:val="16"/>
      <w:szCs w:val="16"/>
    </w:rPr>
  </w:style>
  <w:style w:type="paragraph" w:styleId="aa">
    <w:name w:val="List Paragraph"/>
    <w:basedOn w:val="a"/>
    <w:uiPriority w:val="34"/>
    <w:qFormat/>
    <w:rsid w:val="00E23B8D"/>
    <w:pPr>
      <w:ind w:left="720"/>
      <w:contextualSpacing/>
    </w:pPr>
  </w:style>
  <w:style w:type="table" w:styleId="ab">
    <w:name w:val="Table Grid"/>
    <w:basedOn w:val="a1"/>
    <w:rsid w:val="00B00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3244</Words>
  <Characters>18496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ТОО "Мавра"</Company>
  <LinksUpToDate>false</LinksUpToDate>
  <CharactersWithSpaces>21697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Виктор</dc:creator>
  <cp:keywords/>
  <dc:description/>
  <cp:lastModifiedBy>admin</cp:lastModifiedBy>
  <cp:revision>2</cp:revision>
  <cp:lastPrinted>2009-05-06T06:32:00Z</cp:lastPrinted>
  <dcterms:created xsi:type="dcterms:W3CDTF">2014-04-17T06:08:00Z</dcterms:created>
  <dcterms:modified xsi:type="dcterms:W3CDTF">2014-04-17T06:08:00Z</dcterms:modified>
</cp:coreProperties>
</file>