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E71" w:rsidRDefault="00D216D6">
      <w:pPr>
        <w:pStyle w:val="1"/>
        <w:jc w:val="center"/>
      </w:pPr>
      <w:r>
        <w:t>Выработка рекомендаций по защите оператора ЭВМ от воздействия СДЯВ</w:t>
      </w:r>
    </w:p>
    <w:p w:rsidR="00376E71" w:rsidRPr="00D216D6" w:rsidRDefault="00D216D6">
      <w:pPr>
        <w:pStyle w:val="a3"/>
      </w:pPr>
      <w:r>
        <w:rPr>
          <w:b/>
          <w:bCs/>
        </w:rPr>
        <w:t>1. Введение</w:t>
      </w:r>
    </w:p>
    <w:p w:rsidR="00376E71" w:rsidRDefault="00D216D6">
      <w:pPr>
        <w:pStyle w:val="a3"/>
      </w:pPr>
      <w:r>
        <w:t>Сильнодействующие ядовитые вещества (СДЯВ) широко применяются в современном производстве. На химически опасных объектах экономики используются, производятся, складируются и транспортируются огромные количества СДЯВ. Большое число людей работающих на подобных предприятиях могут подвергнутся значительному риску при возникновении аварий и различных чрезвычайных ситуаций (ЧС).</w:t>
      </w:r>
    </w:p>
    <w:p w:rsidR="00376E71" w:rsidRDefault="00D216D6">
      <w:pPr>
        <w:pStyle w:val="a3"/>
      </w:pPr>
      <w:r>
        <w:t>Прогнозирование возможных последствий ЧС позволяет своевременно принять необходимые меры по повышению устойчивости работы объекта, способствует предотвращению человеческих жертв и уменьшению экономического ущерба.</w:t>
      </w:r>
    </w:p>
    <w:p w:rsidR="00376E71" w:rsidRDefault="00D216D6">
      <w:pPr>
        <w:pStyle w:val="a3"/>
      </w:pPr>
      <w:r>
        <w:t>Заблаговременное прогнозирование позволяет вывить критичные элементы объекта экономики (ОЭ), определить возможные последствия ЧС, в том числе и последствия вторичных поражающих факторов и на их основе подготовить рекомендации по защите гражданского населения от этих последствий.</w:t>
      </w:r>
    </w:p>
    <w:p w:rsidR="00376E71" w:rsidRDefault="00D216D6">
      <w:pPr>
        <w:pStyle w:val="a3"/>
      </w:pPr>
      <w:r>
        <w:rPr>
          <w:b/>
          <w:bCs/>
        </w:rPr>
        <w:t>2. Методика оценки химической обстановки</w:t>
      </w:r>
    </w:p>
    <w:p w:rsidR="00376E71" w:rsidRDefault="00D216D6">
      <w:pPr>
        <w:pStyle w:val="a3"/>
      </w:pPr>
      <w:r>
        <w:t>Угроза поражения людей СДЯВ требует быстрого и точного выявления и оценки химической обстановки. Под химической обстановкой понимают масштабы и степень химического заражения местности, оказывающие влияние на действия формирований гражданской обороны (ГО), работу объекта экономики и жизнедеятельность населения.</w:t>
      </w:r>
    </w:p>
    <w:p w:rsidR="00376E71" w:rsidRDefault="00D216D6">
      <w:pPr>
        <w:pStyle w:val="a3"/>
      </w:pPr>
      <w:r>
        <w:t>Под оценкой химической обстановки понимается определение масштаба и характера заражения СДЯВ, анализ их влияния на деятельность объекта экономики, сил ГО и населения.</w:t>
      </w:r>
    </w:p>
    <w:p w:rsidR="00376E71" w:rsidRDefault="00D216D6">
      <w:pPr>
        <w:pStyle w:val="a3"/>
      </w:pPr>
      <w:r>
        <w:t>Исходными данными для оценки химической обстановки являются: тип СДЯВ, район, время и количество СДЯВ, разлившееся в результате аварии (при заблаговременном прогнозировании для сейсмических районов за величину выброса принимают общее количество СДЯВ). Кроме того, на химическую обстановку влияют метеорологические условия: температура воздуха и почвы, направление и скорость приземного ветра, состояние вертикальной устойчивости приземного слоя атмосферы.</w:t>
      </w:r>
    </w:p>
    <w:p w:rsidR="00376E71" w:rsidRDefault="00D216D6">
      <w:pPr>
        <w:pStyle w:val="a3"/>
      </w:pPr>
      <w:r>
        <w:t>В основу метода заблаговременной оценки химической обстановки положено численное решение уравнения турбулентной диффузии. Для упрощения расчетов ряд условий оценивается с помощью коэффициентов.</w:t>
      </w:r>
    </w:p>
    <w:p w:rsidR="00376E71" w:rsidRDefault="00D216D6">
      <w:pPr>
        <w:pStyle w:val="a3"/>
      </w:pPr>
      <w:r>
        <w:t>Глубина зоны химического поражения рассчитывается следующим образом:</w:t>
      </w:r>
    </w:p>
    <w:p w:rsidR="00376E71" w:rsidRDefault="00C033C9">
      <w:pPr>
        <w:pStyle w:val="a3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3" type="#_x0000_t75" style="width:155.25pt;height:34.5pt">
            <v:imagedata r:id="rId4" o:title=""/>
          </v:shape>
        </w:pict>
      </w:r>
      <w:r w:rsidR="00D216D6">
        <w:t>, м.</w:t>
      </w:r>
    </w:p>
    <w:p w:rsidR="00376E71" w:rsidRDefault="00D216D6">
      <w:pPr>
        <w:pStyle w:val="a3"/>
      </w:pPr>
      <w:r>
        <w:t>где G – количество СДЯВ, кг;</w:t>
      </w:r>
    </w:p>
    <w:p w:rsidR="00376E71" w:rsidRDefault="00D216D6">
      <w:pPr>
        <w:pStyle w:val="a3"/>
      </w:pPr>
      <w:r>
        <w:t>D – токсодоза, мг . мин/л (D = C . T, здесь С – поражающая концентрация, мг/л, а Т – время экспозиции, мин);</w:t>
      </w:r>
    </w:p>
    <w:p w:rsidR="00376E71" w:rsidRDefault="00D216D6">
      <w:pPr>
        <w:pStyle w:val="a3"/>
      </w:pPr>
      <w:r>
        <w:t>V – скорость ветра в приземном слое воздуха, м/с.</w:t>
      </w:r>
    </w:p>
    <w:p w:rsidR="00376E71" w:rsidRDefault="00D216D6">
      <w:pPr>
        <w:pStyle w:val="a3"/>
      </w:pPr>
      <w:r>
        <w:t>Ширина зоны поражения:</w:t>
      </w:r>
    </w:p>
    <w:p w:rsidR="00376E71" w:rsidRDefault="00C033C9">
      <w:pPr>
        <w:pStyle w:val="a3"/>
      </w:pPr>
      <w:r>
        <w:rPr>
          <w:noProof/>
        </w:rPr>
        <w:pict>
          <v:shape id="_x0000_i1036" type="#_x0000_t75" style="width:57.75pt;height:15.75pt">
            <v:imagedata r:id="rId5" o:title=""/>
          </v:shape>
        </w:pict>
      </w:r>
      <w:r w:rsidR="00D216D6">
        <w:t xml:space="preserve">, м. </w:t>
      </w:r>
    </w:p>
    <w:p w:rsidR="00376E71" w:rsidRDefault="00D216D6">
      <w:pPr>
        <w:pStyle w:val="a3"/>
      </w:pPr>
      <w:r>
        <w:t>Площадь зоны поражения:</w:t>
      </w:r>
    </w:p>
    <w:p w:rsidR="00376E71" w:rsidRDefault="00C033C9">
      <w:pPr>
        <w:pStyle w:val="a3"/>
      </w:pPr>
      <w:r>
        <w:rPr>
          <w:noProof/>
        </w:rPr>
        <w:pict>
          <v:shape id="_x0000_i1039" type="#_x0000_t75" style="width:69pt;height:13.5pt">
            <v:imagedata r:id="rId6" o:title=""/>
          </v:shape>
        </w:pict>
      </w:r>
      <w:r w:rsidR="00D216D6">
        <w:t>, м2,</w:t>
      </w:r>
    </w:p>
    <w:p w:rsidR="00376E71" w:rsidRDefault="00D216D6">
      <w:pPr>
        <w:pStyle w:val="a3"/>
      </w:pPr>
      <w:r>
        <w:t>Время подхода зараженного воздуха к объекту рассчитывается из следующего соотношения:</w:t>
      </w:r>
    </w:p>
    <w:p w:rsidR="00376E71" w:rsidRDefault="00C033C9">
      <w:pPr>
        <w:pStyle w:val="a3"/>
      </w:pPr>
      <w:r>
        <w:rPr>
          <w:noProof/>
        </w:rPr>
        <w:pict>
          <v:shape id="_x0000_i1042" type="#_x0000_t75" style="width:54.75pt;height:28.5pt">
            <v:imagedata r:id="rId7" o:title=""/>
          </v:shape>
        </w:pict>
      </w:r>
      <w:r w:rsidR="00D216D6">
        <w:t>, мин.</w:t>
      </w:r>
    </w:p>
    <w:p w:rsidR="00376E71" w:rsidRDefault="00D216D6">
      <w:pPr>
        <w:pStyle w:val="a3"/>
      </w:pPr>
      <w:r>
        <w:t>где L – расстояние от места аварии до объекта экономики, м;</w:t>
      </w:r>
    </w:p>
    <w:p w:rsidR="00376E71" w:rsidRDefault="00C033C9">
      <w:pPr>
        <w:pStyle w:val="a3"/>
      </w:pPr>
      <w:r>
        <w:rPr>
          <w:noProof/>
        </w:rPr>
        <w:pict>
          <v:shape id="_x0000_i1045" type="#_x0000_t75" style="width:81.75pt;height:15.75pt">
            <v:imagedata r:id="rId8" o:title=""/>
          </v:shape>
        </w:pict>
      </w:r>
      <w:r w:rsidR="00D216D6">
        <w:t>– скорость переноса облака, зараженного СДЯВ.</w:t>
      </w:r>
    </w:p>
    <w:p w:rsidR="00376E71" w:rsidRDefault="00D216D6">
      <w:pPr>
        <w:pStyle w:val="a3"/>
      </w:pPr>
      <w:r>
        <w:t>Время действия поражающих концентраций считается следующим образом:</w:t>
      </w:r>
    </w:p>
    <w:p w:rsidR="00376E71" w:rsidRDefault="00C033C9">
      <w:pPr>
        <w:pStyle w:val="a3"/>
      </w:pPr>
      <w:r>
        <w:rPr>
          <w:noProof/>
        </w:rPr>
        <w:pict>
          <v:shape id="_x0000_i1048" type="#_x0000_t75" style="width:81.75pt;height:15.75pt">
            <v:imagedata r:id="rId9" o:title=""/>
          </v:shape>
        </w:pict>
      </w:r>
    </w:p>
    <w:p w:rsidR="00376E71" w:rsidRDefault="00D216D6">
      <w:pPr>
        <w:pStyle w:val="a3"/>
      </w:pPr>
      <w:r>
        <w:t xml:space="preserve">где </w:t>
      </w:r>
      <w:r w:rsidR="00C033C9">
        <w:rPr>
          <w:noProof/>
        </w:rPr>
        <w:pict>
          <v:shape id="_x0000_i1051" type="#_x0000_t75" style="width:14.25pt;height:15.75pt">
            <v:imagedata r:id="rId10" o:title=""/>
          </v:shape>
        </w:pict>
      </w:r>
      <w:r>
        <w:t>– время испарения СДЯВ в зависимости от оборудования хранилища, час.</w:t>
      </w:r>
    </w:p>
    <w:p w:rsidR="00376E71" w:rsidRDefault="00D216D6">
      <w:pPr>
        <w:pStyle w:val="a3"/>
      </w:pPr>
      <w:r>
        <w:t>В приведенных уравнениях:</w:t>
      </w:r>
    </w:p>
    <w:p w:rsidR="00376E71" w:rsidRDefault="00D216D6">
      <w:pPr>
        <w:pStyle w:val="a3"/>
      </w:pPr>
      <w:r>
        <w:t>K1, K2, K6, – коэффициенты, учитывающие состояние атмосферы.</w:t>
      </w:r>
    </w:p>
    <w:p w:rsidR="00376E71" w:rsidRDefault="00D216D6">
      <w:pPr>
        <w:pStyle w:val="a3"/>
      </w:pPr>
      <w:r>
        <w:t>K3, K4 – учитывают условия хранения и топографические условия местности.</w:t>
      </w:r>
    </w:p>
    <w:p w:rsidR="00376E71" w:rsidRDefault="00D216D6">
      <w:pPr>
        <w:pStyle w:val="a3"/>
      </w:pPr>
      <w:r>
        <w:t>K5 – учитывает влияние скорости ветра на продолжительность поражающего действия СДЯВ.</w:t>
      </w:r>
    </w:p>
    <w:p w:rsidR="00376E71" w:rsidRDefault="00D216D6">
      <w:pPr>
        <w:pStyle w:val="a3"/>
      </w:pPr>
      <w:r>
        <w:t>Значения коэффициентов, времени испарения СДЯВ при скорости ветра 1 м/с и токсических свойств СДЯВ определяются из следующих таблиц:</w:t>
      </w:r>
    </w:p>
    <w:tbl>
      <w:tblPr>
        <w:tblW w:w="0" w:type="auto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40"/>
        <w:gridCol w:w="240"/>
        <w:gridCol w:w="240"/>
        <w:gridCol w:w="240"/>
      </w:tblGrid>
      <w:tr w:rsidR="00376E71">
        <w:trPr>
          <w:tblCellSpacing w:w="0" w:type="dxa"/>
        </w:trPr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Вертикальная устойчивость атмосферы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376E71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Инверсия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Изотермия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Конвекция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K1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0,8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K2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1/3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1/9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K6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1,5</w:t>
            </w:r>
          </w:p>
        </w:tc>
      </w:tr>
    </w:tbl>
    <w:p w:rsidR="00376E71" w:rsidRDefault="00376E71"/>
    <w:tbl>
      <w:tblPr>
        <w:tblW w:w="0" w:type="auto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80"/>
        <w:gridCol w:w="480"/>
        <w:gridCol w:w="480"/>
        <w:gridCol w:w="480"/>
        <w:gridCol w:w="480"/>
        <w:gridCol w:w="480"/>
        <w:gridCol w:w="480"/>
      </w:tblGrid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V, м/с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6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K5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0,55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0,32</w:t>
            </w:r>
          </w:p>
        </w:tc>
      </w:tr>
    </w:tbl>
    <w:p w:rsidR="00376E71" w:rsidRDefault="00376E71"/>
    <w:tbl>
      <w:tblPr>
        <w:tblW w:w="0" w:type="auto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80"/>
        <w:gridCol w:w="240"/>
        <w:gridCol w:w="240"/>
      </w:tblGrid>
      <w:tr w:rsidR="00376E71">
        <w:trPr>
          <w:tblCellSpacing w:w="0" w:type="dxa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376E71"/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Тип хранилища СДЯВ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376E71" w:rsidRDefault="00376E71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открытое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обвалованное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K3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2/3</w:t>
            </w:r>
          </w:p>
        </w:tc>
      </w:tr>
    </w:tbl>
    <w:p w:rsidR="00376E71" w:rsidRDefault="00376E71"/>
    <w:tbl>
      <w:tblPr>
        <w:tblW w:w="0" w:type="auto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80"/>
        <w:gridCol w:w="240"/>
        <w:gridCol w:w="240"/>
      </w:tblGrid>
      <w:tr w:rsidR="00376E71">
        <w:trPr>
          <w:tblCellSpacing w:w="0" w:type="dxa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376E71"/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Тип местности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376E71" w:rsidRDefault="00376E71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открытая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закрытая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K4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1/3</w:t>
            </w:r>
          </w:p>
        </w:tc>
      </w:tr>
    </w:tbl>
    <w:p w:rsidR="00376E71" w:rsidRDefault="00376E71"/>
    <w:tbl>
      <w:tblPr>
        <w:tblW w:w="0" w:type="auto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80"/>
        <w:gridCol w:w="240"/>
        <w:gridCol w:w="240"/>
      </w:tblGrid>
      <w:tr w:rsidR="00376E71">
        <w:trPr>
          <w:tblCellSpacing w:w="0" w:type="dxa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Наименование СДЯВ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Тип хранилища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376E71" w:rsidRDefault="00376E71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открытое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обвалованное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Аммиак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22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Хлор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20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Сернистый ангидрид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20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Фосген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1,4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23</w:t>
            </w:r>
          </w:p>
        </w:tc>
      </w:tr>
    </w:tbl>
    <w:p w:rsidR="00376E71" w:rsidRDefault="00376E71"/>
    <w:tbl>
      <w:tblPr>
        <w:tblW w:w="0" w:type="auto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80"/>
        <w:gridCol w:w="240"/>
        <w:gridCol w:w="240"/>
      </w:tblGrid>
      <w:tr w:rsidR="00376E71">
        <w:trPr>
          <w:tblCellSpacing w:w="0" w:type="dxa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Наименование СДЯВ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Токсические свойства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376E71" w:rsidRDefault="00376E71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Поражающая концентрация, мг/л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Экспозиция, мин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Аммиак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360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Хлор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60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Сернистый ангидрид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0,05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10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Фосген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0,4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50</w:t>
            </w:r>
          </w:p>
        </w:tc>
      </w:tr>
    </w:tbl>
    <w:p w:rsidR="00376E71" w:rsidRPr="00D216D6" w:rsidRDefault="00D216D6">
      <w:pPr>
        <w:pStyle w:val="a3"/>
      </w:pPr>
      <w:r>
        <w:t>3. Рекомендации по защите</w:t>
      </w:r>
    </w:p>
    <w:p w:rsidR="00376E71" w:rsidRDefault="00D216D6">
      <w:pPr>
        <w:pStyle w:val="a3"/>
      </w:pPr>
      <w:r>
        <w:t>В первую очередь необходимо определить границу возможного очага химического поражения (ОХП). Для этого на карту или план объекта экономики наносят зону возможного заражения, а затем выделяют объекты или их части, которые попадают в зону химического заражения.</w:t>
      </w:r>
    </w:p>
    <w:p w:rsidR="00376E71" w:rsidRDefault="00D216D6">
      <w:pPr>
        <w:pStyle w:val="a3"/>
      </w:pPr>
      <w:r>
        <w:t>Исходя из полученной картины, необходимо определить места расположения аптечек первой помощи, количества и места складирования средств индивидуальной защиты (респираторов, противогазов, защитных костюмов). Кроме того, учитывая, что большинство СДЯВ являются еще и горючими, необходимо предусмотреть наличие средств пожаротушения.</w:t>
      </w:r>
    </w:p>
    <w:p w:rsidR="00376E71" w:rsidRDefault="00D216D6">
      <w:pPr>
        <w:pStyle w:val="a3"/>
      </w:pPr>
      <w:r>
        <w:t>Основным видом защиты от воздействия СДЯВ являются: промышленные противогазы марки “В”,“К”, и “М”, гражданский противогаз ГП-5 и фильтрующие противогазы типа КД, также при объемной дохе кислорода не менее 18% и суммарной дозе ядовитых паров и газов не более 0,5% возможно применение респиратора РПГ-67 КД. При высоких концентрациях необходимо применять изолирующие противогазы и защитный костюм от токсичных аэрозолей, резиновые сапоги, перчатки.</w:t>
      </w:r>
    </w:p>
    <w:p w:rsidR="00376E71" w:rsidRDefault="00D216D6">
      <w:pPr>
        <w:pStyle w:val="a3"/>
      </w:pPr>
      <w:r>
        <w:t>При этом необходимо помнить, что время пребывания в средствах индивидуальной защиты существенно зависит от температуры окружающей среды (при работе в пасмурную погоду сроки работы могут быть увеличены в 1,5 – 2 раза):</w:t>
      </w:r>
    </w:p>
    <w:tbl>
      <w:tblPr>
        <w:tblW w:w="0" w:type="auto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80"/>
        <w:gridCol w:w="240"/>
        <w:gridCol w:w="240"/>
      </w:tblGrid>
      <w:tr w:rsidR="00376E71">
        <w:trPr>
          <w:tblCellSpacing w:w="0" w:type="dxa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Температура наружного воздуха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Продолжительность работы в изолирующей одежде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376E71" w:rsidRDefault="00376E71"/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Default="00D216D6">
            <w:r>
              <w:t>без влажного экранирующего комбинезона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Default="00D216D6">
            <w:r>
              <w:t>с влажным экранирующим комбенизоном</w:t>
            </w:r>
          </w:p>
        </w:tc>
      </w:tr>
      <w:tr w:rsidR="00376E71">
        <w:trPr>
          <w:tblCellSpacing w:w="0" w:type="dxa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Pr="00D216D6" w:rsidRDefault="00D216D6">
            <w:pPr>
              <w:pStyle w:val="a3"/>
            </w:pPr>
            <w:r w:rsidRPr="00D216D6">
              <w:t>+30 и выше</w:t>
            </w:r>
          </w:p>
          <w:p w:rsidR="00376E71" w:rsidRPr="00D216D6" w:rsidRDefault="00D216D6">
            <w:pPr>
              <w:pStyle w:val="a3"/>
            </w:pPr>
            <w:r w:rsidRPr="00D216D6">
              <w:t>+25 до +29</w:t>
            </w:r>
          </w:p>
          <w:p w:rsidR="00376E71" w:rsidRPr="00D216D6" w:rsidRDefault="00D216D6">
            <w:pPr>
              <w:pStyle w:val="a3"/>
            </w:pPr>
            <w:r w:rsidRPr="00D216D6">
              <w:t>+20 до +24</w:t>
            </w:r>
          </w:p>
          <w:p w:rsidR="00376E71" w:rsidRPr="00D216D6" w:rsidRDefault="00D216D6">
            <w:pPr>
              <w:pStyle w:val="a3"/>
            </w:pPr>
            <w:r w:rsidRPr="00D216D6">
              <w:t>ниже +15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76E71" w:rsidRPr="00D216D6" w:rsidRDefault="00D216D6">
            <w:pPr>
              <w:pStyle w:val="a3"/>
            </w:pPr>
            <w:r w:rsidRPr="00D216D6">
              <w:t>до 20 мин</w:t>
            </w:r>
          </w:p>
          <w:p w:rsidR="00376E71" w:rsidRPr="00D216D6" w:rsidRDefault="00D216D6">
            <w:pPr>
              <w:pStyle w:val="a3"/>
            </w:pPr>
            <w:r w:rsidRPr="00D216D6">
              <w:t>до 30 мин</w:t>
            </w:r>
          </w:p>
          <w:p w:rsidR="00376E71" w:rsidRPr="00D216D6" w:rsidRDefault="00D216D6">
            <w:pPr>
              <w:pStyle w:val="a3"/>
            </w:pPr>
            <w:r w:rsidRPr="00D216D6">
              <w:t>до 45 мин</w:t>
            </w:r>
          </w:p>
          <w:p w:rsidR="00376E71" w:rsidRPr="00D216D6" w:rsidRDefault="00D216D6">
            <w:pPr>
              <w:pStyle w:val="a3"/>
            </w:pPr>
            <w:r w:rsidRPr="00D216D6">
              <w:t>более 3 часов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76E71" w:rsidRPr="00D216D6" w:rsidRDefault="00D216D6">
            <w:pPr>
              <w:pStyle w:val="a3"/>
            </w:pPr>
            <w:r w:rsidRPr="00D216D6">
              <w:t>1 – 1,5 часа</w:t>
            </w:r>
          </w:p>
          <w:p w:rsidR="00376E71" w:rsidRPr="00D216D6" w:rsidRDefault="00D216D6">
            <w:pPr>
              <w:pStyle w:val="a3"/>
            </w:pPr>
            <w:r w:rsidRPr="00D216D6">
              <w:t>1,5 – 2 часа</w:t>
            </w:r>
          </w:p>
          <w:p w:rsidR="00376E71" w:rsidRPr="00D216D6" w:rsidRDefault="00D216D6">
            <w:pPr>
              <w:pStyle w:val="a3"/>
            </w:pPr>
            <w:r w:rsidRPr="00D216D6">
              <w:t>2 – 2,5 часа</w:t>
            </w:r>
          </w:p>
          <w:p w:rsidR="00376E71" w:rsidRPr="00D216D6" w:rsidRDefault="00D216D6">
            <w:pPr>
              <w:pStyle w:val="a3"/>
            </w:pPr>
            <w:r w:rsidRPr="00D216D6">
              <w:t>более 3 часов</w:t>
            </w:r>
          </w:p>
        </w:tc>
      </w:tr>
    </w:tbl>
    <w:p w:rsidR="00376E71" w:rsidRPr="00D216D6" w:rsidRDefault="00D216D6">
      <w:pPr>
        <w:pStyle w:val="a3"/>
      </w:pPr>
      <w:r>
        <w:t xml:space="preserve">При серьезных авариях, а также в случае возможности возникновения пожара, необходима эвакуация персонала. Также, силами медперсонала объекта, службы ГО и сотрудников объекта экономики должна быть оказана первая помощь пострадавшим. </w:t>
      </w:r>
    </w:p>
    <w:p w:rsidR="00376E71" w:rsidRDefault="00D216D6">
      <w:pPr>
        <w:pStyle w:val="a3"/>
      </w:pPr>
      <w:r>
        <w:t>Для возможности применения всех этих средств защиты и мер безопасности, необходимо, чтобы весь персонал объекта экономики, на котором возможна авария со СДЯВ, был ознакомлен с правилами техники безопасности, а также с правилами применения средств индивидуальной защиты и оказания первой медицинской помощи при отравлении ядовитыми газами. Службе ГО объекта необходимо проводить периодические учения и/или методические занятия, способствующие получению описанных навыков служащими объекта экономики, и моделирующие возможные ситуации при возникновении аварии со СДЯВ и эвакуации людей.</w:t>
      </w:r>
    </w:p>
    <w:p w:rsidR="00376E71" w:rsidRDefault="00D216D6">
      <w:pPr>
        <w:pStyle w:val="a3"/>
      </w:pPr>
      <w:r>
        <w:rPr>
          <w:b/>
          <w:bCs/>
        </w:rPr>
        <w:t>Приложение 1. Программа оценки химической обстановки</w:t>
      </w:r>
    </w:p>
    <w:p w:rsidR="00376E71" w:rsidRDefault="00D216D6">
      <w:pPr>
        <w:pStyle w:val="a3"/>
      </w:pPr>
      <w:r>
        <w:t>«Программа оценки химической обстановки при аварии со СДЯВ» предназначена для прогнозирования возможных последствий аварии на объекте экономики и оценки химической обстановки в случае возникновения такой аварии.</w:t>
      </w:r>
    </w:p>
    <w:p w:rsidR="00376E71" w:rsidRDefault="00D216D6">
      <w:pPr>
        <w:pStyle w:val="a3"/>
      </w:pPr>
      <w:r>
        <w:t>Программа выполнена в среде Borland C++ Builder 3.0 и работает под управлением ОС Microsoft Windows 9x. Программа обладает дружественным интуитивно-понятным интерфейсом и не нуждается в каком-либо дополнительном обучении для работы с ней (предполагается, что пользователь обладает навыками работы в графической среде ОС Microsoft Windows 9x).</w:t>
      </w:r>
    </w:p>
    <w:p w:rsidR="00376E71" w:rsidRDefault="00D216D6">
      <w:pPr>
        <w:pStyle w:val="a3"/>
      </w:pPr>
      <w:r>
        <w:t>В зависимости от задаваемых пользователем параметров (тип, количество, способ хранения СДЯВ, вертикальная устойчивость атмосферы, скорость ветра, тип местности, расстояние до объекта экономики) выполняется расчет глубины, ширины и площади возможной зоны заражения, время подхода зараженного воздуха к объекту, продолжительность поражающего действия СДЯВ. Пересчет всех параметров выполняется «на лету», результаты оценки химической обстановки можно сохранить в текстовый файл.</w:t>
      </w:r>
    </w:p>
    <w:p w:rsidR="00376E71" w:rsidRDefault="00D216D6">
      <w:pPr>
        <w:pStyle w:val="a3"/>
      </w:pPr>
      <w:r>
        <w:t>Текст программы:</w:t>
      </w:r>
    </w:p>
    <w:p w:rsidR="00376E71" w:rsidRDefault="00D216D6">
      <w:pPr>
        <w:pStyle w:val="a3"/>
      </w:pPr>
      <w:r>
        <w:t>// Программа оценки химической обстановки при аварии со СДЯВ</w:t>
      </w:r>
    </w:p>
    <w:p w:rsidR="00376E71" w:rsidRDefault="00D216D6">
      <w:pPr>
        <w:pStyle w:val="a3"/>
      </w:pPr>
      <w:r>
        <w:t>// Автор: студент группы ИП-2-94 Яковлев Дмитрий</w:t>
      </w:r>
    </w:p>
    <w:p w:rsidR="00376E71" w:rsidRDefault="00D216D6">
      <w:pPr>
        <w:pStyle w:val="a3"/>
      </w:pPr>
      <w:r>
        <w:t>// Прогамма разработана в среде Borland C++ Builder 3.0</w:t>
      </w:r>
    </w:p>
    <w:p w:rsidR="00376E71" w:rsidRDefault="00376E71"/>
    <w:p w:rsidR="00376E71" w:rsidRPr="00D216D6" w:rsidRDefault="00D216D6">
      <w:pPr>
        <w:pStyle w:val="a3"/>
      </w:pPr>
      <w:r>
        <w:t>#include &lt;vcl.h&gt;</w:t>
      </w:r>
    </w:p>
    <w:p w:rsidR="00376E71" w:rsidRDefault="00D216D6">
      <w:pPr>
        <w:pStyle w:val="a3"/>
      </w:pPr>
      <w:r>
        <w:t>#pragma hdrstop</w:t>
      </w:r>
    </w:p>
    <w:p w:rsidR="00376E71" w:rsidRDefault="00D216D6">
      <w:pPr>
        <w:pStyle w:val="a3"/>
      </w:pPr>
      <w:r>
        <w:t>#include "Unit1.h"</w:t>
      </w:r>
    </w:p>
    <w:p w:rsidR="00376E71" w:rsidRDefault="00D216D6">
      <w:pPr>
        <w:pStyle w:val="a3"/>
      </w:pPr>
      <w:r>
        <w:t>#pragma package(smart_init)</w:t>
      </w:r>
    </w:p>
    <w:p w:rsidR="00376E71" w:rsidRDefault="00D216D6">
      <w:pPr>
        <w:pStyle w:val="a3"/>
      </w:pPr>
      <w:r>
        <w:t>#pragma resource "*.dfm"</w:t>
      </w:r>
    </w:p>
    <w:p w:rsidR="00376E71" w:rsidRDefault="00D216D6">
      <w:pPr>
        <w:pStyle w:val="a3"/>
      </w:pPr>
      <w:r>
        <w:t>#include &lt;math.h&gt;</w:t>
      </w:r>
    </w:p>
    <w:p w:rsidR="00376E71" w:rsidRDefault="00D216D6">
      <w:pPr>
        <w:pStyle w:val="a3"/>
      </w:pPr>
      <w:r>
        <w:t>#include &lt;vcl/dstring.h&gt;</w:t>
      </w:r>
    </w:p>
    <w:p w:rsidR="00376E71" w:rsidRDefault="00D216D6">
      <w:pPr>
        <w:pStyle w:val="a3"/>
      </w:pPr>
      <w:r>
        <w:t>#include &lt;stdlib.h&gt;</w:t>
      </w:r>
    </w:p>
    <w:p w:rsidR="00376E71" w:rsidRDefault="00D216D6">
      <w:pPr>
        <w:pStyle w:val="a3"/>
      </w:pPr>
      <w:r>
        <w:t>#include &lt;stdio.h&gt;</w:t>
      </w:r>
    </w:p>
    <w:p w:rsidR="00376E71" w:rsidRDefault="00D216D6">
      <w:pPr>
        <w:pStyle w:val="a3"/>
      </w:pPr>
      <w:r>
        <w:t>// Описания глобальных переменных и таблиц рассчета коэффициентов</w:t>
      </w:r>
    </w:p>
    <w:p w:rsidR="00376E71" w:rsidRDefault="00D216D6">
      <w:pPr>
        <w:pStyle w:val="a3"/>
      </w:pPr>
      <w:r>
        <w:t>// (все значения взяты из методички ОЦЕНКА ХИМИЧЕСКОЙ ОБСТАНОВКИ для выполнения</w:t>
      </w:r>
    </w:p>
    <w:p w:rsidR="00376E71" w:rsidRDefault="00D216D6">
      <w:pPr>
        <w:pStyle w:val="a3"/>
      </w:pPr>
      <w:r>
        <w:t>// практической работы по теме 1.6</w:t>
      </w:r>
      <w:r>
        <w:rPr>
          <w:b/>
          <w:bCs/>
        </w:rPr>
        <w:t>)</w:t>
      </w:r>
    </w:p>
    <w:p w:rsidR="00376E71" w:rsidRDefault="00D216D6">
      <w:pPr>
        <w:pStyle w:val="a3"/>
      </w:pPr>
      <w:r>
        <w:t>TForm1 *Form1;</w:t>
      </w:r>
    </w:p>
    <w:p w:rsidR="00376E71" w:rsidRDefault="00D216D6">
      <w:pPr>
        <w:pStyle w:val="a3"/>
      </w:pPr>
      <w:r>
        <w:rPr>
          <w:b/>
          <w:bCs/>
        </w:rPr>
        <w:t>int</w:t>
      </w:r>
      <w:r>
        <w:t xml:space="preserve"> G,L,V;</w:t>
      </w:r>
    </w:p>
    <w:p w:rsidR="00376E71" w:rsidRDefault="00D216D6">
      <w:pPr>
        <w:pStyle w:val="a3"/>
      </w:pPr>
      <w:r>
        <w:rPr>
          <w:b/>
          <w:bCs/>
        </w:rPr>
        <w:t>float</w:t>
      </w:r>
      <w:r>
        <w:t xml:space="preserve"> k1,k2,k3,k4,k5,k6,D,ti;</w:t>
      </w:r>
    </w:p>
    <w:p w:rsidR="00376E71" w:rsidRDefault="00D216D6">
      <w:pPr>
        <w:pStyle w:val="a3"/>
      </w:pPr>
      <w:r>
        <w:t>// Таблица: вертикальная устойчивость атмосферы</w:t>
      </w:r>
    </w:p>
    <w:p w:rsidR="00376E71" w:rsidRDefault="00D216D6">
      <w:pPr>
        <w:pStyle w:val="a3"/>
      </w:pPr>
      <w:r>
        <w:rPr>
          <w:b/>
          <w:bCs/>
        </w:rPr>
        <w:t>float</w:t>
      </w:r>
      <w:r>
        <w:t xml:space="preserve"> atm[3][3] = {{0.03, 0.15, 0.8},{1, 1/3.0, 1/9.0},{2, 1.5, 1.5}};</w:t>
      </w:r>
    </w:p>
    <w:p w:rsidR="00376E71" w:rsidRDefault="00D216D6">
      <w:pPr>
        <w:pStyle w:val="a3"/>
      </w:pPr>
      <w:r>
        <w:t>// Таблица рассчета k5 в зависимости от скорости ветра</w:t>
      </w:r>
    </w:p>
    <w:p w:rsidR="00376E71" w:rsidRDefault="00D216D6">
      <w:pPr>
        <w:pStyle w:val="a3"/>
      </w:pPr>
      <w:r>
        <w:rPr>
          <w:b/>
          <w:bCs/>
        </w:rPr>
        <w:t>float</w:t>
      </w:r>
      <w:r>
        <w:t xml:space="preserve"> velocity[6] = {1, 0.7, 0.55, 0.43, 0.37, 0.32};</w:t>
      </w:r>
    </w:p>
    <w:p w:rsidR="00376E71" w:rsidRDefault="00D216D6">
      <w:pPr>
        <w:pStyle w:val="a3"/>
      </w:pPr>
      <w:r>
        <w:t>// Таблица рассчета k3 в зависимости от вида хранилища</w:t>
      </w:r>
    </w:p>
    <w:p w:rsidR="00376E71" w:rsidRDefault="00D216D6">
      <w:pPr>
        <w:pStyle w:val="a3"/>
      </w:pPr>
      <w:r>
        <w:rPr>
          <w:b/>
          <w:bCs/>
        </w:rPr>
        <w:t>float</w:t>
      </w:r>
      <w:r>
        <w:t xml:space="preserve"> store[2] = {1, 2/3.0};</w:t>
      </w:r>
    </w:p>
    <w:p w:rsidR="00376E71" w:rsidRDefault="00D216D6">
      <w:pPr>
        <w:pStyle w:val="a3"/>
      </w:pPr>
      <w:r>
        <w:t>// Таблица рассчета k4 в зависимости от вида местности</w:t>
      </w:r>
    </w:p>
    <w:p w:rsidR="00376E71" w:rsidRDefault="00D216D6">
      <w:pPr>
        <w:pStyle w:val="a3"/>
      </w:pPr>
      <w:r>
        <w:rPr>
          <w:b/>
          <w:bCs/>
        </w:rPr>
        <w:t>float</w:t>
      </w:r>
      <w:r>
        <w:t xml:space="preserve"> place[2] = {1, 1/3.0};</w:t>
      </w:r>
    </w:p>
    <w:p w:rsidR="00376E71" w:rsidRDefault="00D216D6">
      <w:pPr>
        <w:pStyle w:val="a3"/>
      </w:pPr>
      <w:r>
        <w:t>// Таблица рассчета времени испарения СДЯВ в зависимости от типа СДЯВ и вида</w:t>
      </w:r>
    </w:p>
    <w:p w:rsidR="00376E71" w:rsidRDefault="00D216D6">
      <w:pPr>
        <w:pStyle w:val="a3"/>
      </w:pPr>
      <w:r>
        <w:t>// хранилища</w:t>
      </w:r>
    </w:p>
    <w:p w:rsidR="00376E71" w:rsidRDefault="00D216D6">
      <w:pPr>
        <w:pStyle w:val="a3"/>
      </w:pPr>
      <w:r>
        <w:rPr>
          <w:b/>
          <w:bCs/>
        </w:rPr>
        <w:t>float</w:t>
      </w:r>
      <w:r>
        <w:t xml:space="preserve"> timeOF[4][2] = {{1.3, 22},{1.2, 20},{1.3, 20},{1.4, 23}};</w:t>
      </w:r>
    </w:p>
    <w:p w:rsidR="00376E71" w:rsidRDefault="00D216D6">
      <w:pPr>
        <w:pStyle w:val="a3"/>
      </w:pPr>
      <w:r>
        <w:t>// Таблица: токсические свойства СДЯВ</w:t>
      </w:r>
    </w:p>
    <w:p w:rsidR="00376E71" w:rsidRDefault="00D216D6">
      <w:pPr>
        <w:pStyle w:val="a3"/>
      </w:pPr>
      <w:r>
        <w:rPr>
          <w:b/>
          <w:bCs/>
        </w:rPr>
        <w:t>float</w:t>
      </w:r>
      <w:r>
        <w:t xml:space="preserve"> prop[4][2] = {{0.2, 360},{0.01, 60},{0.05, 10},{0.4, 50}};</w:t>
      </w:r>
    </w:p>
    <w:p w:rsidR="00376E71" w:rsidRDefault="00376E71"/>
    <w:p w:rsidR="00376E71" w:rsidRPr="00D216D6" w:rsidRDefault="00D216D6">
      <w:pPr>
        <w:pStyle w:val="a3"/>
      </w:pPr>
      <w:r>
        <w:t>//Функция конструтор</w:t>
      </w:r>
    </w:p>
    <w:p w:rsidR="00376E71" w:rsidRDefault="00376E71"/>
    <w:p w:rsidR="00376E71" w:rsidRPr="00D216D6" w:rsidRDefault="00D216D6">
      <w:pPr>
        <w:pStyle w:val="a3"/>
      </w:pPr>
      <w:r>
        <w:t>__</w:t>
      </w:r>
      <w:r>
        <w:rPr>
          <w:b/>
          <w:bCs/>
        </w:rPr>
        <w:t>fastcall</w:t>
      </w:r>
      <w:r>
        <w:t xml:space="preserve"> TForm1::TForm1(TComponent* Owner)</w:t>
      </w:r>
    </w:p>
    <w:p w:rsidR="00376E71" w:rsidRDefault="00D216D6">
      <w:pPr>
        <w:pStyle w:val="a3"/>
      </w:pPr>
      <w:r>
        <w:t>: TForm(Owner)</w:t>
      </w:r>
    </w:p>
    <w:p w:rsidR="00376E71" w:rsidRDefault="00D216D6">
      <w:pPr>
        <w:pStyle w:val="a3"/>
      </w:pPr>
      <w:r>
        <w:t>{</w:t>
      </w:r>
    </w:p>
    <w:p w:rsidR="00376E71" w:rsidRDefault="00376E71"/>
    <w:p w:rsidR="00376E71" w:rsidRPr="00D216D6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t>//Функция вывода рассчетных значений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setLabel(</w:t>
      </w:r>
      <w:r>
        <w:rPr>
          <w:b/>
          <w:bCs/>
        </w:rPr>
        <w:t>float</w:t>
      </w:r>
      <w:r>
        <w:t xml:space="preserve"> what, TLabel *a, </w:t>
      </w:r>
      <w:r>
        <w:rPr>
          <w:b/>
          <w:bCs/>
        </w:rPr>
        <w:t>char</w:t>
      </w:r>
      <w:r>
        <w:t xml:space="preserve"> *b)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rPr>
          <w:b/>
          <w:bCs/>
        </w:rPr>
        <w:t>int</w:t>
      </w:r>
      <w:r>
        <w:t xml:space="preserve"> i,l;</w:t>
      </w:r>
    </w:p>
    <w:p w:rsidR="00376E71" w:rsidRDefault="00D216D6">
      <w:pPr>
        <w:pStyle w:val="a3"/>
      </w:pPr>
      <w:r>
        <w:t>AnsiString bff;</w:t>
      </w:r>
    </w:p>
    <w:p w:rsidR="00376E71" w:rsidRDefault="00D216D6">
      <w:pPr>
        <w:pStyle w:val="a3"/>
      </w:pPr>
      <w:r>
        <w:t>bff = FormatFloat("0.00", what);</w:t>
      </w:r>
    </w:p>
    <w:p w:rsidR="00376E71" w:rsidRDefault="00376E71"/>
    <w:p w:rsidR="00376E71" w:rsidRPr="00D216D6" w:rsidRDefault="00D216D6">
      <w:pPr>
        <w:pStyle w:val="a3"/>
      </w:pPr>
      <w:r>
        <w:t>i = a-&gt;Caption.Pos(": ");</w:t>
      </w:r>
    </w:p>
    <w:p w:rsidR="00376E71" w:rsidRDefault="00D216D6">
      <w:pPr>
        <w:pStyle w:val="a3"/>
      </w:pPr>
      <w:r>
        <w:t>l = a-&gt;Caption.Length() - i;</w:t>
      </w:r>
    </w:p>
    <w:p w:rsidR="00376E71" w:rsidRDefault="00D216D6">
      <w:pPr>
        <w:pStyle w:val="a3"/>
      </w:pPr>
      <w:r>
        <w:t>a-&gt;Caption = a-&gt;Caption.Delete(i+2, l);</w:t>
      </w:r>
    </w:p>
    <w:p w:rsidR="00376E71" w:rsidRDefault="00D216D6">
      <w:pPr>
        <w:pStyle w:val="a3"/>
      </w:pPr>
      <w:r>
        <w:t>a-&gt;Caption = a-&gt;Caption + bff + b;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t>// Функции пересчета коэффициентов и значений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setTI()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ti = timeOF[Form1-&gt;ComboBox1-&gt;ItemIndex][Form1-&gt;ComboBox4-&gt;ItemIndex];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setD()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D = prop[Form1-&gt;ComboBox1-&gt;ItemIndex][0]*prop[Form1-&gt;ComboBox1-&gt;ItemIndex][1];</w:t>
      </w:r>
    </w:p>
    <w:p w:rsidR="00376E71" w:rsidRDefault="00D216D6">
      <w:pPr>
        <w:pStyle w:val="a3"/>
      </w:pPr>
      <w:r>
        <w:t>D = D*60/100000.0;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setk1k2k6()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k1 = atm[0][Form1-&gt;ComboBox2-&gt;ItemIndex];</w:t>
      </w:r>
    </w:p>
    <w:p w:rsidR="00376E71" w:rsidRDefault="00D216D6">
      <w:pPr>
        <w:pStyle w:val="a3"/>
      </w:pPr>
      <w:r>
        <w:t>k2 = atm[1][Form1-&gt;ComboBox2-&gt;ItemIndex];</w:t>
      </w:r>
    </w:p>
    <w:p w:rsidR="00376E71" w:rsidRDefault="00D216D6">
      <w:pPr>
        <w:pStyle w:val="a3"/>
      </w:pPr>
      <w:r>
        <w:t>k6 = atm[2][Form1-&gt;ComboBox2-&gt;ItemIndex];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setk5V()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k5 = velocity[Form1-&gt;ComboBox3-&gt;ItemIndex];</w:t>
      </w:r>
    </w:p>
    <w:p w:rsidR="00376E71" w:rsidRDefault="00D216D6">
      <w:pPr>
        <w:pStyle w:val="a3"/>
      </w:pPr>
      <w:r>
        <w:t>V = Form1-&gt;ComboBox3-&gt;ItemIndex + 1;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setk3()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k3 = store[Form1-&gt;ComboBox4-&gt;ItemIndex];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setk4()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k4 = place[Form1-&gt;ComboBox4-&gt;ItemIndex];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t>// Функция вычисления параметров зоны заражения, время подхода зараженного</w:t>
      </w:r>
    </w:p>
    <w:p w:rsidR="00376E71" w:rsidRDefault="00D216D6">
      <w:pPr>
        <w:pStyle w:val="a3"/>
      </w:pPr>
      <w:r>
        <w:t>// воздуха и время поражающего действия СДЯВ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setZone()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rPr>
          <w:b/>
          <w:bCs/>
        </w:rPr>
        <w:t>float</w:t>
      </w:r>
      <w:r>
        <w:t xml:space="preserve"> h,w,s,t1,t2;</w:t>
      </w:r>
    </w:p>
    <w:p w:rsidR="00376E71" w:rsidRDefault="00376E71"/>
    <w:p w:rsidR="00376E71" w:rsidRPr="00D216D6" w:rsidRDefault="00D216D6">
      <w:pPr>
        <w:pStyle w:val="a3"/>
      </w:pPr>
      <w:r>
        <w:t>G = Form1-&gt;Edit2-&gt;Text.ToInt();</w:t>
      </w:r>
    </w:p>
    <w:p w:rsidR="00376E71" w:rsidRDefault="00D216D6">
      <w:pPr>
        <w:pStyle w:val="a3"/>
      </w:pPr>
      <w:r>
        <w:t>h = k2*k3*k4*34.2*pow(pow(G/(D*V), 2), 1/3.0);</w:t>
      </w:r>
    </w:p>
    <w:p w:rsidR="00376E71" w:rsidRDefault="00D216D6">
      <w:pPr>
        <w:pStyle w:val="a3"/>
      </w:pPr>
      <w:r>
        <w:t>setLabel(h, Form1-&gt;Height, " м");</w:t>
      </w:r>
    </w:p>
    <w:p w:rsidR="00376E71" w:rsidRDefault="00376E71"/>
    <w:p w:rsidR="00376E71" w:rsidRPr="00D216D6" w:rsidRDefault="00D216D6">
      <w:pPr>
        <w:pStyle w:val="a3"/>
      </w:pPr>
      <w:r>
        <w:t>w = k1*h;</w:t>
      </w:r>
    </w:p>
    <w:p w:rsidR="00376E71" w:rsidRDefault="00D216D6">
      <w:pPr>
        <w:pStyle w:val="a3"/>
      </w:pPr>
      <w:r>
        <w:t>setLabel(w, Form1-&gt;Width, " м");</w:t>
      </w:r>
    </w:p>
    <w:p w:rsidR="00376E71" w:rsidRDefault="00376E71"/>
    <w:p w:rsidR="00376E71" w:rsidRPr="00D216D6" w:rsidRDefault="00D216D6">
      <w:pPr>
        <w:pStyle w:val="a3"/>
      </w:pPr>
      <w:r>
        <w:t>s = 0.5*h*w;</w:t>
      </w:r>
    </w:p>
    <w:p w:rsidR="00376E71" w:rsidRDefault="00D216D6">
      <w:pPr>
        <w:pStyle w:val="a3"/>
      </w:pPr>
      <w:r>
        <w:t>setLabel(s, Form1-&gt;Square, " м2");</w:t>
      </w:r>
    </w:p>
    <w:p w:rsidR="00376E71" w:rsidRDefault="00376E71"/>
    <w:p w:rsidR="00376E71" w:rsidRPr="00D216D6" w:rsidRDefault="00D216D6">
      <w:pPr>
        <w:pStyle w:val="a3"/>
      </w:pPr>
      <w:r>
        <w:t>L = Form1-&gt;Edit1-&gt;Text.ToInt();</w:t>
      </w:r>
    </w:p>
    <w:p w:rsidR="00376E71" w:rsidRDefault="00D216D6">
      <w:pPr>
        <w:pStyle w:val="a3"/>
      </w:pPr>
      <w:r>
        <w:t>t1 = L/(k6*V);</w:t>
      </w:r>
    </w:p>
    <w:p w:rsidR="00376E71" w:rsidRDefault="00D216D6">
      <w:pPr>
        <w:pStyle w:val="a3"/>
      </w:pPr>
      <w:r>
        <w:t>setLabel(t1, Form1-&gt;timeA, " c");</w:t>
      </w:r>
    </w:p>
    <w:p w:rsidR="00376E71" w:rsidRDefault="00376E71"/>
    <w:p w:rsidR="00376E71" w:rsidRPr="00D216D6" w:rsidRDefault="00D216D6">
      <w:pPr>
        <w:pStyle w:val="a3"/>
      </w:pPr>
      <w:r>
        <w:t>t2 = (ti*k5);</w:t>
      </w:r>
    </w:p>
    <w:p w:rsidR="00376E71" w:rsidRDefault="00D216D6">
      <w:pPr>
        <w:pStyle w:val="a3"/>
      </w:pPr>
      <w:r>
        <w:t>setLabel(t2, Form1-&gt;timeB, " час");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t>// Контроль ввода количеста СДЯВ и расстояния до объекта экономики</w:t>
      </w:r>
    </w:p>
    <w:p w:rsidR="00376E71" w:rsidRDefault="00D216D6">
      <w:pPr>
        <w:pStyle w:val="a3"/>
      </w:pPr>
      <w:r>
        <w:t>// (разрешен ввод только целых чисел) и пересчет параметров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TForm1::Edit1Change(TObject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rPr>
          <w:b/>
          <w:bCs/>
        </w:rPr>
        <w:t>char</w:t>
      </w:r>
      <w:r>
        <w:t xml:space="preserve"> c[4];</w:t>
      </w:r>
    </w:p>
    <w:p w:rsidR="00376E71" w:rsidRDefault="00D216D6">
      <w:pPr>
        <w:pStyle w:val="a3"/>
      </w:pPr>
      <w:r>
        <w:t>strcpy(c,Edit1-&gt;Text.c_str());</w:t>
      </w:r>
    </w:p>
    <w:p w:rsidR="00376E71" w:rsidRDefault="00D216D6">
      <w:pPr>
        <w:pStyle w:val="a3"/>
      </w:pPr>
      <w:r>
        <w:rPr>
          <w:b/>
          <w:bCs/>
        </w:rPr>
        <w:t>int</w:t>
      </w:r>
      <w:r>
        <w:t xml:space="preserve"> i=0;</w:t>
      </w:r>
    </w:p>
    <w:p w:rsidR="00376E71" w:rsidRDefault="00D216D6">
      <w:pPr>
        <w:pStyle w:val="a3"/>
      </w:pPr>
      <w:r>
        <w:rPr>
          <w:b/>
          <w:bCs/>
        </w:rPr>
        <w:t>while</w:t>
      </w:r>
      <w:r>
        <w:t>(c[i]!=0){</w:t>
      </w:r>
    </w:p>
    <w:p w:rsidR="00376E71" w:rsidRDefault="00D216D6">
      <w:pPr>
        <w:pStyle w:val="a3"/>
      </w:pPr>
      <w:r>
        <w:rPr>
          <w:b/>
          <w:bCs/>
        </w:rPr>
        <w:t>if</w:t>
      </w:r>
      <w:r>
        <w:t>((c[i]&gt;'9')||(c[i]&lt;'0'))</w:t>
      </w:r>
    </w:p>
    <w:p w:rsidR="00376E71" w:rsidRDefault="00D216D6">
      <w:pPr>
        <w:pStyle w:val="a3"/>
      </w:pPr>
      <w:r>
        <w:t>strcpy(c+i,c+i+1);</w:t>
      </w:r>
    </w:p>
    <w:p w:rsidR="00376E71" w:rsidRDefault="00D216D6">
      <w:pPr>
        <w:pStyle w:val="a3"/>
      </w:pPr>
      <w:r>
        <w:rPr>
          <w:b/>
          <w:bCs/>
        </w:rPr>
        <w:t>else</w:t>
      </w:r>
    </w:p>
    <w:p w:rsidR="00376E71" w:rsidRDefault="00D216D6">
      <w:pPr>
        <w:pStyle w:val="a3"/>
      </w:pPr>
      <w:r>
        <w:t>i++;</w:t>
      </w:r>
    </w:p>
    <w:p w:rsidR="00376E71" w:rsidRDefault="00D216D6">
      <w:pPr>
        <w:pStyle w:val="a3"/>
      </w:pPr>
      <w:r>
        <w:t>}</w:t>
      </w:r>
    </w:p>
    <w:p w:rsidR="00376E71" w:rsidRDefault="00D216D6">
      <w:pPr>
        <w:pStyle w:val="a3"/>
      </w:pPr>
      <w:r>
        <w:t>Edit1-&gt;Text=c;</w:t>
      </w:r>
    </w:p>
    <w:p w:rsidR="00376E71" w:rsidRDefault="00D216D6">
      <w:pPr>
        <w:pStyle w:val="a3"/>
      </w:pPr>
      <w:r>
        <w:rPr>
          <w:b/>
          <w:bCs/>
        </w:rPr>
        <w:t>if</w:t>
      </w:r>
      <w:r>
        <w:t xml:space="preserve"> (Edit1-&gt;Text != "")</w:t>
      </w:r>
    </w:p>
    <w:p w:rsidR="00376E71" w:rsidRDefault="00D216D6">
      <w:pPr>
        <w:pStyle w:val="a3"/>
      </w:pPr>
      <w:r>
        <w:t>setZone();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TForm1::Edit2Change(TObject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rPr>
          <w:b/>
          <w:bCs/>
        </w:rPr>
        <w:t>char</w:t>
      </w:r>
      <w:r>
        <w:t xml:space="preserve"> c[4];</w:t>
      </w:r>
    </w:p>
    <w:p w:rsidR="00376E71" w:rsidRDefault="00D216D6">
      <w:pPr>
        <w:pStyle w:val="a3"/>
      </w:pPr>
      <w:r>
        <w:t>strcpy(c,Edit2-&gt;Text.c_str());</w:t>
      </w:r>
    </w:p>
    <w:p w:rsidR="00376E71" w:rsidRDefault="00D216D6">
      <w:pPr>
        <w:pStyle w:val="a3"/>
      </w:pPr>
      <w:r>
        <w:rPr>
          <w:b/>
          <w:bCs/>
        </w:rPr>
        <w:t>int</w:t>
      </w:r>
      <w:r>
        <w:t xml:space="preserve"> i=0;</w:t>
      </w:r>
    </w:p>
    <w:p w:rsidR="00376E71" w:rsidRDefault="00D216D6">
      <w:pPr>
        <w:pStyle w:val="a3"/>
      </w:pPr>
      <w:r>
        <w:rPr>
          <w:b/>
          <w:bCs/>
        </w:rPr>
        <w:t>while</w:t>
      </w:r>
      <w:r>
        <w:t>(c[i]!=0){</w:t>
      </w:r>
    </w:p>
    <w:p w:rsidR="00376E71" w:rsidRDefault="00D216D6">
      <w:pPr>
        <w:pStyle w:val="a3"/>
      </w:pPr>
      <w:r>
        <w:rPr>
          <w:b/>
          <w:bCs/>
        </w:rPr>
        <w:t>if</w:t>
      </w:r>
      <w:r>
        <w:t>((c[i]&gt;'9')||(c[i]&lt;'0'))</w:t>
      </w:r>
    </w:p>
    <w:p w:rsidR="00376E71" w:rsidRDefault="00D216D6">
      <w:pPr>
        <w:pStyle w:val="a3"/>
      </w:pPr>
      <w:r>
        <w:t>strcpy(c+i,c+i+1);</w:t>
      </w:r>
    </w:p>
    <w:p w:rsidR="00376E71" w:rsidRDefault="00D216D6">
      <w:pPr>
        <w:pStyle w:val="a3"/>
      </w:pPr>
      <w:r>
        <w:rPr>
          <w:b/>
          <w:bCs/>
        </w:rPr>
        <w:t>else</w:t>
      </w:r>
    </w:p>
    <w:p w:rsidR="00376E71" w:rsidRDefault="00D216D6">
      <w:pPr>
        <w:pStyle w:val="a3"/>
      </w:pPr>
      <w:r>
        <w:t>i++;</w:t>
      </w:r>
    </w:p>
    <w:p w:rsidR="00376E71" w:rsidRDefault="00D216D6">
      <w:pPr>
        <w:pStyle w:val="a3"/>
      </w:pPr>
      <w:r>
        <w:t>}</w:t>
      </w:r>
    </w:p>
    <w:p w:rsidR="00376E71" w:rsidRDefault="00D216D6">
      <w:pPr>
        <w:pStyle w:val="a3"/>
      </w:pPr>
      <w:r>
        <w:t>Edit2-&gt;Text=c;</w:t>
      </w:r>
    </w:p>
    <w:p w:rsidR="00376E71" w:rsidRDefault="00D216D6">
      <w:pPr>
        <w:pStyle w:val="a3"/>
      </w:pPr>
      <w:r>
        <w:rPr>
          <w:b/>
          <w:bCs/>
        </w:rPr>
        <w:t>if</w:t>
      </w:r>
      <w:r>
        <w:t xml:space="preserve"> (Edit2-&gt;Text != "")</w:t>
      </w:r>
    </w:p>
    <w:p w:rsidR="00376E71" w:rsidRDefault="00D216D6">
      <w:pPr>
        <w:pStyle w:val="a3"/>
      </w:pPr>
      <w:r>
        <w:t>setZone();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t>// Функции вызывающие функции пересчета коэффициентов, в зависимости от</w:t>
      </w:r>
    </w:p>
    <w:p w:rsidR="00376E71" w:rsidRDefault="00D216D6">
      <w:pPr>
        <w:pStyle w:val="a3"/>
      </w:pPr>
      <w:r>
        <w:t>// действий пользователя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TForm1::ComboBox1Change(TObject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setD();</w:t>
      </w:r>
    </w:p>
    <w:p w:rsidR="00376E71" w:rsidRDefault="00D216D6">
      <w:pPr>
        <w:pStyle w:val="a3"/>
      </w:pPr>
      <w:r>
        <w:t>setTI();</w:t>
      </w:r>
    </w:p>
    <w:p w:rsidR="00376E71" w:rsidRDefault="00D216D6">
      <w:pPr>
        <w:pStyle w:val="a3"/>
      </w:pPr>
      <w:r>
        <w:t>setZone();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TForm1::ComboBox2Change(TObject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setk1k2k6();</w:t>
      </w:r>
    </w:p>
    <w:p w:rsidR="00376E71" w:rsidRDefault="00D216D6">
      <w:pPr>
        <w:pStyle w:val="a3"/>
      </w:pPr>
      <w:r>
        <w:t>setZone();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TForm1::ComboBox3Change(TObject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setk5V();</w:t>
      </w:r>
    </w:p>
    <w:p w:rsidR="00376E71" w:rsidRDefault="00D216D6">
      <w:pPr>
        <w:pStyle w:val="a3"/>
      </w:pPr>
      <w:r>
        <w:t>setZone();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TForm1::ComboBox4Change(TObject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setk3();</w:t>
      </w:r>
    </w:p>
    <w:p w:rsidR="00376E71" w:rsidRDefault="00D216D6">
      <w:pPr>
        <w:pStyle w:val="a3"/>
      </w:pPr>
      <w:r>
        <w:t>setTI();</w:t>
      </w:r>
    </w:p>
    <w:p w:rsidR="00376E71" w:rsidRDefault="00D216D6">
      <w:pPr>
        <w:pStyle w:val="a3"/>
      </w:pPr>
      <w:r>
        <w:t>setZone();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TForm1::ComboBox5Change(TObject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setk4();</w:t>
      </w:r>
    </w:p>
    <w:p w:rsidR="00376E71" w:rsidRDefault="00D216D6">
      <w:pPr>
        <w:pStyle w:val="a3"/>
      </w:pPr>
      <w:r>
        <w:t>setZone();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t>// Начальная инициализация всех значений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TForm1::FormCreate(TObject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t>ComboBox1-&gt;ItemIndex=0;</w:t>
      </w:r>
    </w:p>
    <w:p w:rsidR="00376E71" w:rsidRDefault="00D216D6">
      <w:pPr>
        <w:pStyle w:val="a3"/>
      </w:pPr>
      <w:r>
        <w:t>ComboBox2-&gt;ItemIndex=0;</w:t>
      </w:r>
    </w:p>
    <w:p w:rsidR="00376E71" w:rsidRDefault="00D216D6">
      <w:pPr>
        <w:pStyle w:val="a3"/>
      </w:pPr>
      <w:r>
        <w:t>ComboBox3-&gt;ItemIndex=0;</w:t>
      </w:r>
    </w:p>
    <w:p w:rsidR="00376E71" w:rsidRDefault="00D216D6">
      <w:pPr>
        <w:pStyle w:val="a3"/>
      </w:pPr>
      <w:r>
        <w:t>ComboBox4-&gt;ItemIndex=0;</w:t>
      </w:r>
    </w:p>
    <w:p w:rsidR="00376E71" w:rsidRDefault="00D216D6">
      <w:pPr>
        <w:pStyle w:val="a3"/>
      </w:pPr>
      <w:r>
        <w:t>ComboBox5-&gt;ItemIndex=0;</w:t>
      </w:r>
    </w:p>
    <w:p w:rsidR="00376E71" w:rsidRDefault="00D216D6">
      <w:pPr>
        <w:pStyle w:val="a3"/>
      </w:pPr>
      <w:r>
        <w:t>setTI();</w:t>
      </w:r>
    </w:p>
    <w:p w:rsidR="00376E71" w:rsidRDefault="00D216D6">
      <w:pPr>
        <w:pStyle w:val="a3"/>
      </w:pPr>
      <w:r>
        <w:t>setD();</w:t>
      </w:r>
    </w:p>
    <w:p w:rsidR="00376E71" w:rsidRDefault="00D216D6">
      <w:pPr>
        <w:pStyle w:val="a3"/>
      </w:pPr>
      <w:r>
        <w:t>setk1k2k6();</w:t>
      </w:r>
    </w:p>
    <w:p w:rsidR="00376E71" w:rsidRDefault="00D216D6">
      <w:pPr>
        <w:pStyle w:val="a3"/>
      </w:pPr>
      <w:r>
        <w:t>setk5V();</w:t>
      </w:r>
    </w:p>
    <w:p w:rsidR="00376E71" w:rsidRDefault="00D216D6">
      <w:pPr>
        <w:pStyle w:val="a3"/>
      </w:pPr>
      <w:r>
        <w:t>setk3();</w:t>
      </w:r>
    </w:p>
    <w:p w:rsidR="00376E71" w:rsidRDefault="00D216D6">
      <w:pPr>
        <w:pStyle w:val="a3"/>
      </w:pPr>
      <w:r>
        <w:t>setk4();</w:t>
      </w:r>
    </w:p>
    <w:p w:rsidR="00376E71" w:rsidRDefault="00D216D6">
      <w:pPr>
        <w:pStyle w:val="a3"/>
      </w:pPr>
      <w:r>
        <w:t>setZone();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t>//Обработка выхода из программы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TForm1::Button2Click(TObject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rPr>
          <w:b/>
          <w:bCs/>
        </w:rPr>
        <w:t>if</w:t>
      </w:r>
      <w:r>
        <w:t xml:space="preserve"> (Application-&gt;MessageBox("Вы действительно хотите закончить работу с </w:t>
      </w:r>
      <w:r>
        <w:br/>
        <w:t xml:space="preserve">программой?", "Завершение работы", MB_YESNO + MB_ICONQUESTION + </w:t>
      </w:r>
      <w:r>
        <w:br/>
        <w:t>MB_DEFBUTTON1) == IDYES)</w:t>
      </w:r>
    </w:p>
    <w:p w:rsidR="00376E71" w:rsidRDefault="00D216D6">
      <w:pPr>
        <w:pStyle w:val="a3"/>
      </w:pPr>
      <w:r>
        <w:t>exit (0);</w:t>
      </w:r>
    </w:p>
    <w:p w:rsidR="00376E71" w:rsidRDefault="00D216D6">
      <w:pPr>
        <w:pStyle w:val="a3"/>
      </w:pPr>
      <w:r>
        <w:t>}</w:t>
      </w:r>
    </w:p>
    <w:p w:rsidR="00376E71" w:rsidRDefault="00376E71"/>
    <w:p w:rsidR="00376E71" w:rsidRPr="00D216D6" w:rsidRDefault="00D216D6">
      <w:pPr>
        <w:pStyle w:val="a3"/>
      </w:pPr>
      <w:r>
        <w:t>// Сохранение результатов работы программы</w:t>
      </w:r>
    </w:p>
    <w:p w:rsidR="00376E71" w:rsidRDefault="00376E71"/>
    <w:p w:rsidR="00376E71" w:rsidRPr="00D216D6" w:rsidRDefault="00D216D6">
      <w:pPr>
        <w:pStyle w:val="a3"/>
      </w:pPr>
      <w:r>
        <w:rPr>
          <w:b/>
          <w:bCs/>
        </w:rPr>
        <w:t>void</w:t>
      </w:r>
      <w:r>
        <w:t xml:space="preserve"> __</w:t>
      </w:r>
      <w:r>
        <w:rPr>
          <w:b/>
          <w:bCs/>
        </w:rPr>
        <w:t>fastcall</w:t>
      </w:r>
      <w:r>
        <w:t xml:space="preserve"> TForm1::Button1Click(TObject *Sender)</w:t>
      </w:r>
    </w:p>
    <w:p w:rsidR="00376E71" w:rsidRDefault="00D216D6">
      <w:pPr>
        <w:pStyle w:val="a3"/>
      </w:pPr>
      <w:r>
        <w:t>{</w:t>
      </w:r>
    </w:p>
    <w:p w:rsidR="00376E71" w:rsidRDefault="00D216D6">
      <w:pPr>
        <w:pStyle w:val="a3"/>
      </w:pPr>
      <w:r>
        <w:rPr>
          <w:b/>
          <w:bCs/>
        </w:rPr>
        <w:t>if</w:t>
      </w:r>
      <w:r>
        <w:t>(Save-&gt;Execute()){</w:t>
      </w:r>
    </w:p>
    <w:p w:rsidR="00376E71" w:rsidRDefault="00D216D6">
      <w:pPr>
        <w:pStyle w:val="a3"/>
      </w:pPr>
      <w:r>
        <w:t>FILE*output = fopen(Save-&gt;FileName.c_str(),"w");</w:t>
      </w:r>
    </w:p>
    <w:p w:rsidR="00376E71" w:rsidRDefault="00D216D6">
      <w:pPr>
        <w:pStyle w:val="a3"/>
      </w:pPr>
      <w:r>
        <w:rPr>
          <w:b/>
          <w:bCs/>
        </w:rPr>
        <w:t>if</w:t>
      </w:r>
      <w:r>
        <w:t>(output == NULL){</w:t>
      </w:r>
    </w:p>
    <w:p w:rsidR="00376E71" w:rsidRDefault="00D216D6">
      <w:pPr>
        <w:pStyle w:val="a3"/>
      </w:pPr>
      <w:r>
        <w:t xml:space="preserve">Application-&gt;MessageBox("Ошибка!", "Ошибка записи файла", </w:t>
      </w:r>
      <w:r>
        <w:br/>
        <w:t>MB_OK+MB_ICONERROR);</w:t>
      </w:r>
    </w:p>
    <w:p w:rsidR="00376E71" w:rsidRDefault="00D216D6">
      <w:pPr>
        <w:pStyle w:val="a3"/>
      </w:pPr>
      <w:r>
        <w:rPr>
          <w:b/>
          <w:bCs/>
        </w:rPr>
        <w:t>return</w:t>
      </w:r>
      <w:r>
        <w:t>;</w:t>
      </w:r>
    </w:p>
    <w:p w:rsidR="00376E71" w:rsidRDefault="00D216D6">
      <w:pPr>
        <w:pStyle w:val="a3"/>
      </w:pPr>
      <w:r>
        <w:t>}</w:t>
      </w:r>
    </w:p>
    <w:p w:rsidR="00376E71" w:rsidRDefault="00D216D6">
      <w:pPr>
        <w:pStyle w:val="a3"/>
      </w:pPr>
      <w:r>
        <w:t>fprintf(output, "%s\n", Form1-&gt;Height-&gt;Caption);</w:t>
      </w:r>
    </w:p>
    <w:p w:rsidR="00376E71" w:rsidRDefault="00D216D6">
      <w:pPr>
        <w:pStyle w:val="a3"/>
      </w:pPr>
      <w:r>
        <w:t>fprintf(output, "%s\n", Form1-&gt;Width-&gt;Caption);</w:t>
      </w:r>
    </w:p>
    <w:p w:rsidR="00376E71" w:rsidRDefault="00D216D6">
      <w:pPr>
        <w:pStyle w:val="a3"/>
      </w:pPr>
      <w:r>
        <w:t>fprintf(output, "%s\n", Form1-&gt;Square-&gt;Caption);</w:t>
      </w:r>
    </w:p>
    <w:p w:rsidR="00376E71" w:rsidRDefault="00D216D6">
      <w:pPr>
        <w:pStyle w:val="a3"/>
      </w:pPr>
      <w:r>
        <w:t>fprintf(output, "%s\n", Form1-&gt;timeA-&gt;Caption);</w:t>
      </w:r>
    </w:p>
    <w:p w:rsidR="00376E71" w:rsidRDefault="00D216D6">
      <w:pPr>
        <w:pStyle w:val="a3"/>
      </w:pPr>
      <w:r>
        <w:t>fprintf(output, "%s\n", Form1-&gt;timeB-&gt;Caption);</w:t>
      </w:r>
    </w:p>
    <w:p w:rsidR="00376E71" w:rsidRDefault="00D216D6">
      <w:pPr>
        <w:pStyle w:val="a3"/>
      </w:pPr>
      <w:r>
        <w:t>fclose(output);</w:t>
      </w:r>
    </w:p>
    <w:p w:rsidR="00376E71" w:rsidRDefault="00D216D6">
      <w:pPr>
        <w:pStyle w:val="a3"/>
      </w:pPr>
      <w:r>
        <w:t>}</w:t>
      </w:r>
    </w:p>
    <w:p w:rsidR="00376E71" w:rsidRDefault="00D216D6">
      <w:pPr>
        <w:pStyle w:val="a3"/>
      </w:pPr>
      <w:r>
        <w:t>}</w:t>
      </w:r>
      <w:bookmarkStart w:id="0" w:name="_GoBack"/>
      <w:bookmarkEnd w:id="0"/>
    </w:p>
    <w:sectPr w:rsidR="00376E7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16D6"/>
    <w:rsid w:val="00376E71"/>
    <w:rsid w:val="00C033C9"/>
    <w:rsid w:val="00D21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  <w15:chartTrackingRefBased/>
  <w15:docId w15:val="{7B012FD9-01A8-44DE-B878-9A6D986DE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gif"/><Relationship Id="rId3" Type="http://schemas.openxmlformats.org/officeDocument/2006/relationships/webSettings" Target="webSettings.xml"/><Relationship Id="rId7" Type="http://schemas.openxmlformats.org/officeDocument/2006/relationships/image" Target="media/image4.gi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11" Type="http://schemas.openxmlformats.org/officeDocument/2006/relationships/fontTable" Target="fontTable.xml"/><Relationship Id="rId5" Type="http://schemas.openxmlformats.org/officeDocument/2006/relationships/image" Target="media/image2.gif"/><Relationship Id="rId10" Type="http://schemas.openxmlformats.org/officeDocument/2006/relationships/image" Target="media/image7.gif"/><Relationship Id="rId4" Type="http://schemas.openxmlformats.org/officeDocument/2006/relationships/image" Target="media/image1.gif"/><Relationship Id="rId9" Type="http://schemas.openxmlformats.org/officeDocument/2006/relationships/image" Target="media/image6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1815</Words>
  <Characters>10351</Characters>
  <Application>Microsoft Office Word</Application>
  <DocSecurity>0</DocSecurity>
  <Lines>86</Lines>
  <Paragraphs>24</Paragraphs>
  <ScaleCrop>false</ScaleCrop>
  <Company/>
  <LinksUpToDate>false</LinksUpToDate>
  <CharactersWithSpaces>12142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Выработка рекомендаций по защите оператора ЭВМ от воздействия СДЯВ</dc:title>
  <dc:subject/>
  <dc:creator>admin</dc:creator>
  <cp:keywords/>
  <dc:description/>
  <cp:lastModifiedBy>admin</cp:lastModifiedBy>
  <cp:revision>2</cp:revision>
  <dcterms:created xsi:type="dcterms:W3CDTF">2014-04-25T10:37:00Z</dcterms:created>
  <dcterms:modified xsi:type="dcterms:W3CDTF">2014-04-25T10:37:00Z</dcterms:modified>
</cp:coreProperties>
</file>