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32" w:rsidRPr="0026523D" w:rsidRDefault="00904E32" w:rsidP="00904E32">
      <w:pPr>
        <w:spacing w:before="120"/>
        <w:jc w:val="center"/>
        <w:rPr>
          <w:b/>
          <w:bCs/>
          <w:sz w:val="32"/>
          <w:szCs w:val="32"/>
        </w:rPr>
      </w:pPr>
      <w:r w:rsidRPr="0026523D">
        <w:rPr>
          <w:b/>
          <w:bCs/>
          <w:sz w:val="32"/>
          <w:szCs w:val="32"/>
        </w:rPr>
        <w:t>Выразительные средства в парламентской речи</w:t>
      </w:r>
    </w:p>
    <w:p w:rsidR="00904E32" w:rsidRPr="0026523D" w:rsidRDefault="00904E32" w:rsidP="00904E32">
      <w:pPr>
        <w:spacing w:before="120"/>
        <w:jc w:val="center"/>
        <w:rPr>
          <w:sz w:val="28"/>
          <w:szCs w:val="28"/>
        </w:rPr>
      </w:pPr>
      <w:r w:rsidRPr="0026523D">
        <w:rPr>
          <w:sz w:val="28"/>
          <w:szCs w:val="28"/>
        </w:rPr>
        <w:t>С. И. Виноградов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Красота речи не тождественна красивости и не сводится к искусственному украшательству. Тем не менее уже в древности знали, что воздействующая сила речи возрастает, если она чем-то выделяется. «Красноречие,— писал М. В. Ломоносов, — есть искусство о всякой данной материи красно говорить и тем преклонять других к своему об оной мнению. Предложенная по сему искусству материя называется речь или слово» (Краткое руководство к красноречию. М., 1958. С. 53). Намеренные отклонения от нейтрального речевого стандарта еще в античной риторике получили название тропов и фигур.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Троп — переносное значение слова, выражения, фрагмента текста. В чем же различия между «обычной» и тропеизированной речью? Вспомним одно из выступлений на Первом съезде народных депутатов СССР. Уже тогда много говорилось об обострении межнациональных отношений в стране. Депутат, посвятивший немалую часть своего выступления этой проблеме, мог бы начать свою речь примерно так: «Дорогие товарищи, проведение перестройки затрудняется национальной рознью, которая порой приводит к кровопролитию». Однако начало выступления — а на трибуне был поэт Е. Евтушенко — оказалось иным: «Дорогие товарищи, нелегко сеять семена перестройки в землю с трещинами национальной розни. Что стоят тосты за дружбу народов, когда под ножки стола подтекает кровь?» Создаваемый образ обогащает текст новыми смысловыми и эмоциональными оттенками, способствует возникновению у слушателя сложного комплекса ассоциаций.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Традиционно тропы разделяются на образованные по смежности и по сходству. Перенос по смежности называется метонимией. Существуют регулярные модели метонимического переноса наименования. Название собрания или какого-нибудь другого социального мероприятия может быть перенесено на его участников (Съезд принял важный закон), именем столицы государства может быть названо его руководство (Лондон представил альтернативный проект договора). Наименование Белый дом в зависимости от контекста и ситуации служит обозначением руководства США или названием российского парламента и т. п.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Значительно большим экспрессивным потенциалом обладают тропы, созданные по сходству, и среди них важнейшее место принадлежит метафоре.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Метафора — перенесение наименования с одного объекта (предмета, лица, явления) на другой, сходный с первым в каком-либо отношении. Метафора — царица тропов, поскольку представляет собой нечто большее, чем прием выразительной речи. Метафора — инструмент познания действительности и способ существования в ней. Разе не метафорой природы является английский парк, разбитый перед домом, и разве не метафоричны устремленные вверх купола и островерхие завершения соборов? С метафорой связаны многие операции по обработке знаний — их усвоение, преобразование, хранение и передача. Поэтому столь значительна роль метафоры в коммуникации, о чем, в частности, свидетельствует и парламентское общение. С современными взглядами на метафору можно познакомиться в работах: Теория метафоры. М., 1990; Баранов А. Н., Караулов Ю. Н. Русская политическая метафора (материалы к словарю). М., Институт русского языка РАН, 1991; Баранов А. Н., Казакевич Е. Г. Парламентские дебаты: традиции и новации. М., 1991.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Метафора может быть реализована в слове, словосочетании, предложении, фрагменте текста. Метафорическое переосмысление слова ведет к возникновению его нового значения: волна — «водяной вал» —&gt; «сильное, массовое проявление чего-либо» (волна недовольства); базар «место розничного торга» —&gt; «шум, беспорядок» (не заседание, а какой-то базар); зарубить «убить рубящим орудием» —&gt; «воспрепятствовать, лишить возможности сделать что-либо или быть кем-либо» (зарубить кандидатуру). Слова-метафоры нередко используются в каламбурах, основанных на игре разными значениями лексических единиц: «Депутаты! Кончайте базар — переходите к рынку».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Самой распространенной формой выражения метафоры являются двучленные словосочетания. Это могут быть генетивные обороты, построенные по модели «именительный падеж существительного + родительный падеж существительного»: война законов, парад суверенитетов, паралич власти. Или атрибутивные словосочетания «прилагательное + существительное»: обвальная приватизация, инфляционная спираль, идеологический вакуум.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Распространенность метафор этого типа объясняется тем, что в них в наиболее явном виде обнаруживается сам механизм метафоризации. Метафора всегда бинарна (двухчленна), так как в ее основе лежит взаимодействие двух информационно-смысловых комплексов.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Тот объект, характеристики которого переносятся на другой, называется источником (поскольку он служит исходной точкой метафоризации), или метафорической моделью. Предмет или ситуация, которые образно интерпретируются с помощью метафорической модели, принято называть целью или объектом метафорического осмысления. Например, в метафорах война законов и паралич власти в роли источника выступают понятия «война» и «паралич», а целью, или объектом, метафорического осмысления являются законы (законодательная деятельность) и власть.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Метафора, реализуемая в предложении, обычно образно представляет какое-либо явление как действие, состояние, процесс: «Так называемая "сильная рука" всегда готова зловеще прирасти к рыхлому телу слабой экономики» (I Съезд народных депутатов СССР. Стенографический отчет); «Ввиду остаточного финансирования здравоохранения наши покупатели — нищие. Поэтому предприятия медтехники и фармации — два коня, пасущиеся на скудной бюджетной лужайке отечественной медицины, от бескормицы так отощали, что не могут не только скакать или бродить, но давно лежат и тяжело поводят боками» (II Съезд народных депутатов РСФСР).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Метафора — фрагмент текста — представляет собой развернутое и достаточно детализированное описание некоего объекта метафорического осмысления. В качестве примера метафоры этого типа можно привести начало выступления на IV Съезде народных депутатов СССР Президента Казахстана Н. А. Назарбаева: «Уважаемые народные депутаты, уважаемый Президент! Позволю себе еще раз использовать метафору, столь полюбившуюся многим парламентским корреспондентам. Да, мы с вами уже четвертый раз вновь собрались на нашем довольно вместительном и оттого, наверное, слишком тихоходном и неповоротливом корабле. Если раньше политическое море лишь волновалось, то сейчас штормит, и очень крепко. И стоит ли удивляться, что, глядя на неуверенность рулевого, часть команды пытается перехватить управление, изменить курс. Другая спешит к спасательным шлюпкам, надеясь продолжить плавание автономно. А третья полна надежд вернуться к старым берегам, от которых мы не так уж далеко ушли» (Стенографический отчет). Развертывание базовой метафорической модели: Съезд — корабль в штормящем море политической жизни страны — позволяет дать характеристику самому съезду как высшему органу власти (вместительный, но тихоходный и неповоротливый корабль), политическому лидеру (неуверенность рулевого), противоборствующим политическим силам (частям команды, избирающим свою линию политического поведения в сложившейся ситуации).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Как нетрудно увидеть из приведенных примеров, метафоры, реализуемые в предложении и тексте, нередко строятся по принципу «метафорической матрешки»: метафоры более высокого уровня (предложение, текст) как бы вбирают в себя метафоры более низкого уровня (слова и словосочетания).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Обобщенность и образность метафоры делают ее весьма удобным и привлекательным инструментом коммуникации: она освобождает от бремени строго рационального и логически последовательного описания какого-либо объекта и оставляет простор для множественной интерпретации сказанного, а следовательно, предполагает возможность альтернативного вывода. Под «ремонтом общественного здания» может пониматься лишь «побелка фасада» (то есть совокупность поверхностных или даже чисто декоративных изменений), но может пониматься и «капитальный ремонт со сменой перекрытий» (что будет означать кардинальные изменения в экономике, политике, идеологии). «Парад суверенитетов» может подразумевать самые различные суверенные притязания — от требования (региона, национально-территориального образования) предоставить большую экономическую самостоятельность до объявления полной независимости и выхода из федеративного государства.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Нередко метафора используется в качестве аргумента. «Метафора — это приговор суда без разбирательства»,— так афористично сказано о ней в одной лингвистической работе (Арутюнова Н. Д. Метафора и дискурс // Теория метафоры. С. 28). Вместо тщательного поиска логически варифицируемых доводов в пользу, скажем, утверждений о гибельности «глубокой» суверенизации республик парламентский оратор вполне может ограничиться приведением метафорических характеристик типа гангрена суверенизации, парад суверенитетов, синдром (вирус) суверенитета,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Стало общим местом утверждение, что наиболее яркой чертой политической метафорики является широкое распространение «военных» - метафор. В этом справедливо видят одно из проявлений милитаризации сознания человека в советском обществе. «Концептуальный милитаризм» (термин авторов книги «Русская политическая метафора») индуцировался коммунистической идеологией с ее теорией классовой борьбы и закреплялся историческими реалиями революций, войн и террора. Уже в первое послереволюционное десятилетие глобальная «военная» метафора заполнила все коммуникативное пространство — от выступлений вождей (по некоторым подсчетам, в речах Сталина метафоры этого типа составляли 90%) до газетных публикаций на сугубо бытовые темы.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Достаточно широкое использование военной метафорики характерно и для современного парламентского речевого обихода. В выступлениях депутатов, государственных деятелей постоянно встречаются обороты наподобие следующих: атака на демократию, находиться под огнем критики, выйти из окопов, работать на два фронта, война законов, капитуляция перед консерваторами, крестовый поход против партийного и советского аппарата, призвать под знамена демократии, торпедировать объективные экономические законы, открытая диверсия, информационная блокада, товарная интервенция, инфляционная мина и т. д. При этом избыточность военной метафорики и ее скрытый смысл ощущают и сами парламентарии: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Депутат: Если к власти стремятся только ради власти, то в политический язык вторгается военный лексикон, соперник превращается во врага. Всякая политическая культура исчезает, появляются термины «блокада», «оккупация». История развития нашей страны неоднократно доказала, что чем глупее, подозрительнее и злее были такие политиканы, тем больше они видели вокруг себя, среди нормальных людей, злых и подозрительных врагов (IV Съезд народных депутатов СССР. Стенографический отчет).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Конечно, не следует видеть за каждым случаем употребления военного термина в переносном значении коварный замысел захвата власти или природную агрессивность человека. Однако и нельзя забывать о том, что чрезмерный «метафорический милитаризм» оказывает воздействие на сознание, ориентируя человека на борьбу и распри, а не на мир и поиски согласия.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Весьма распространены в парламентском общении и так называемые механистические метафоры, где в роли источника (метафорической модели) выступают понятия из области производства, техники, строительства и т. п.: реконструкция общественного здания, гибкий механизм ценообразования, система сдержек и противовесов президентской власти, нажимать на газ и на тормоз, рычаг власти, демонтаж командно-административной системы, придаток государственной машины, запустить машину голосования и т. д. Механистические метафоры универсальны — они встречаются в разных языках. Однако особое пристрастие к ним в русском политическом общении советского периода можно объяснить сакрализацией, то есть осознанием как чего-то священного, «базиса», сферы материального производства, что было естественным следствием исповедания марксизма-ленинизма как новой религии.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По семантике метафор можно изучать политическую историю страны, по распространенности тех или иных метафорических моделей — составить представление о ситуации, в которой она оказалась. Не случайно ходовыми в наши дни оказались метафоры кризисного положения, катастрофы, тупика и поиска выхода из них: оказаться в тупике — выйти из тупика, повергнуть в бездну — выбраться из бездны, находиться на самом дне пропасти — выбраться из пропасти. Но чаще всего ситуация (или ее фрагменты) метафорически осмысливается как болезнь, аномалия, а выход из нее предстает в образе излечения: экономическая болезнь, поставить диагноз, парламентский кризис, паралич власти, вирус суверенитета, конвульсии системы, прогрессирующая болезнь общества, реанимация партийно-аппаратной структуры, синдром забастовок, общество выздоравливает, выздоровление от глубокой аллергии к рынку и т. д.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Не все метафоры равноценны. Среди них есть удачные и неудачные, оригинальные и стереотипные, уместные и неуместные.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Неудачными следует признать, например, такие метафоры, в которых источник не соответствует объекту метафорического осмысления: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Депутат С. (известный писатель). Я призываю вас, дорогие товарищи, помнить о том, что демократия — еще юная девочка, так скажем. И сразу требовать от нее удовлетворения всех своих страстей, не дав достигнуть ей совершеннолетия хотя бы,— это просто уголовное преступление (Оживление в зале).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Пусть она подрастет, пусть плод созреет, не будем сразу же рвать зеленые яблоки и ждать решения всех наших проблем именно сегодня, именно на этой трибуне, именно в эти дни (I Съезд народных депутатов. Стенографический отчет).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При всей нетривиальности эту метафору нельзя занести в список литературных удач автора: при сакральности понятия «демократия» в обществе, которое только-только начинает выходить из тоталитаризма, представление ее в образе девочки, которая становится или может стать объектом сексуальных домогательств, нельзя расценить иначе, как ничем не оправданную в данной ситуации развязность. </w:t>
      </w:r>
    </w:p>
    <w:p w:rsidR="00904E32" w:rsidRPr="0026523D" w:rsidRDefault="00904E32" w:rsidP="00904E32">
      <w:pPr>
        <w:spacing w:before="120"/>
        <w:ind w:firstLine="567"/>
        <w:jc w:val="both"/>
      </w:pPr>
      <w:r w:rsidRPr="0026523D">
        <w:t xml:space="preserve">Итак, метафора — острое орудие, но, как и любое оружие, она требует умелого обращения, в противном случае эта метафора может оказаться направленной против того, кто ее применяет...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32"/>
    <w:rsid w:val="0020465B"/>
    <w:rsid w:val="0026523D"/>
    <w:rsid w:val="00513AB1"/>
    <w:rsid w:val="0062593D"/>
    <w:rsid w:val="00904E32"/>
    <w:rsid w:val="00961FDC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FAC48-C43A-4187-A083-499E240A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3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8959</Words>
  <Characters>5108</Characters>
  <Application>Microsoft Office Word</Application>
  <DocSecurity>0</DocSecurity>
  <Lines>42</Lines>
  <Paragraphs>28</Paragraphs>
  <ScaleCrop>false</ScaleCrop>
  <Company>Home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Выразительные средства в парламентской речи</dc:title>
  <dc:subject/>
  <dc:creator>User</dc:creator>
  <cp:keywords/>
  <dc:description/>
  <cp:lastModifiedBy>admin</cp:lastModifiedBy>
  <cp:revision>2</cp:revision>
  <dcterms:created xsi:type="dcterms:W3CDTF">2014-01-25T22:14:00Z</dcterms:created>
  <dcterms:modified xsi:type="dcterms:W3CDTF">2014-01-25T22:14:00Z</dcterms:modified>
</cp:coreProperties>
</file>