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DC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t>Введение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B 90-е годы XX века произошли кардинальные изменения в российской хозяйственной системе: трансформировалось не только конституционное устройство страны, но и принципы и методы управления национальной промышленностью. Это вызвало нарушение механизма финансирования производства в стране, дестабилизацию темпов роста валового внутреннего продукта (ВВП) и национального дохода, консервацию устаревшей макротехнологической структуры материального производства. Поэтому проектное финансирование как метод привлечения долгосрочных ресурсов для реализации крупных проектов в промышленности является одним из инструментов стабилизации темпов экономического роста в долгосрочной перспективе.</w:t>
      </w:r>
    </w:p>
    <w:p w:rsidR="00D57DDC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57DDC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br w:type="page"/>
      </w:r>
      <w:r w:rsidR="00D57DDC" w:rsidRPr="008D4D9E">
        <w:rPr>
          <w:b/>
          <w:bCs/>
          <w:noProof/>
          <w:color w:val="000000"/>
          <w:sz w:val="28"/>
          <w:szCs w:val="28"/>
        </w:rPr>
        <w:t>Повышение качества кредитования в России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Потребительское кредитование является одним из наиболее динамичных сегментов банковского бизнеса. За два квартала 2007 года рост сегмента потребительского кредитования составил 36,2%, совокупная задолженность граждан по этим кредитам на 01.12.2007 составила 3,1 трлн. Рублей. Этому росту сопутствовало увеличение доли просроченной задолженности в кредитных портфелях розничных банков, которая у некоторых банков превысила психологически важный барьер в 10%. При этом увеличилось и количество жалоб со стороны населения на некорректное составление кредитных договоров банковскими сотрудниками. Пытаясь нивелировать негативные тенденции, государственные органы разрабатывают регулирующие меры, направленные на защиту заемщиков – физических лиц.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Одним из шагов в этом направлении стало внесение изменений в Положение Банка России №254-П «О порядке формирования кредитными организациями резервов на возможные потери по ссудам, по ссудной и приравненной к ней задолженности».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Согласно внесенным изменениям, ссуда, предоставленная физическому лицу, может быть включена в портфель однородных ссуд при условии доведения до сведения заемщика в условиях договора или иным образом информации о размере эффективной процентной ставки на момент выдачи кредита. Раскрытие эффективной процентной ставки позволяет сравнивать привлекательность предложений различных банков, являясь</w:t>
      </w:r>
      <w:r w:rsidR="008D4D9E" w:rsidRPr="008D4D9E">
        <w:rPr>
          <w:noProof/>
          <w:color w:val="000000"/>
          <w:sz w:val="28"/>
          <w:szCs w:val="28"/>
        </w:rPr>
        <w:t>,</w:t>
      </w:r>
      <w:r w:rsidRPr="008D4D9E">
        <w:rPr>
          <w:noProof/>
          <w:color w:val="000000"/>
          <w:sz w:val="28"/>
          <w:szCs w:val="28"/>
        </w:rPr>
        <w:t xml:space="preserve"> таким образом</w:t>
      </w:r>
      <w:r w:rsidR="008D4D9E" w:rsidRPr="008D4D9E">
        <w:rPr>
          <w:noProof/>
          <w:color w:val="000000"/>
          <w:sz w:val="28"/>
          <w:szCs w:val="28"/>
        </w:rPr>
        <w:t>,</w:t>
      </w:r>
      <w:r w:rsidRPr="008D4D9E">
        <w:rPr>
          <w:noProof/>
          <w:color w:val="000000"/>
          <w:sz w:val="28"/>
          <w:szCs w:val="28"/>
        </w:rPr>
        <w:t xml:space="preserve"> инструментом повышения конкуренции.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Однако нам представляется, что раскрытие эффективной процентной ставки в момент заключения кредитного договора не может привести к существенному улучшению ситуации, сложившейся в секторе потребительского кредитования. Эффективная ставка процента не публикуется банками в СМИ или сети Интернет, ввиду чего у заемщика нет реальной возможности проанализировать предложения различных банков. Не менее важный аспект заключается в том, что эффективная процентная ставка сообщается после того, как заемщик принял решение о покупке конкретного товара в конкретном магазине. Стоит также упомянуть, что многие банки помещают информацию об эффективной ставке процента в приложениях к договору, иногда используя мелкий шрифт. Финансовая и правовая культура в России пока находятся в зачаточном состоянии, и многие заемщики не интересуются текстом договора и тем более приложениями к нему.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По данным Национального агентства финансовых исследований, 48% заемщиков не имеют никакого представления об эффективной процентной ставке, а отношение к потребительским кредитам 65% населения никак не изменилось с введением обязательства по ее раскрытию.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Важнейшей проблемой для сегмента потребительских кредитов является так же отсутствие в органах государственной власти единых правовых стандартов для решения споров, связанных со «скрытыми» комиссиями банка. По абсолютно идентичным искам Федеральной службы по надзору в сфере защиты прав потребителей (Роспотребнадзора) в отношении двух разных банков в Москве и Уральском федеральном округе были приняты противоположные решения. В первом случае взимание комиссии за ведение ссудного счета было признано законным, в то время как во втором повлекло штраф размером 20 000 рублей и наложение обязательства по изменению условий договора. Очевидно, что решение подобных вопросов на уровне Президиума Высшего Арбитражного Суда является одной из важнейших задач по регулированию в сфере потребительского кредитования.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Функции органов государственной власти в сфере регулирования потребительского кредитования фактически не разделены. Так, например, спорным является выполнение Роспотребнадзором отдельных функций по надзору в банковской сфере, которые выполняются им на спорадической, а не систематической основе. Кажется целесообразным создание в структуре Банка России органа по надзору за рынком потребительского кредитования, либо детальное законодательное закрепление таких функций за уже существующими органами.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Улучшение ситуации на рынке потребительского кредитования также связано с налаживанием работы бюро кредитных историй. По данным газеты «Коммерсант», во взаимодействии с бюро заинтересованы лишь 10-15% банков, в то время как большинство организаций участвуют в обмене данными только номинально. Бюро кредитных историй, таким образом, пока не рассматриваются кредитными организациями как фактор снижения рисков.</w:t>
      </w:r>
    </w:p>
    <w:p w:rsidR="0025573E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Анализ сложившейся ситуации на рынке потребительского кредитования показывает, что для сокращения доли просроченной задолженности в кредитных портфелях и общего оздоровления кредитных отношений необходимы как шаги со стороны государства, так и собственно банковские инициативы. В частности, необходимо скорейшее принятие единой нормативной базы в виде закона «О потребительском кредитовании», способного обеспечить унификацию судебной практики по искам заемщиков – физических лиц, а также закрепить функции по надзору в сфере потребительского кредитования. Для того, чтобы раскрытие эффективной процентной ставки привело к ожидаемым результатам, необходимо ее опубликование в открытых источниках. Данные различных бюро кредитных историй должны быть интегрированы, а соблюдение банками сроков, формы и содержания информации, предоставляемой в бюро, должно контролироваться надзорными органами.</w:t>
      </w:r>
    </w:p>
    <w:p w:rsidR="00D57DDC" w:rsidRPr="008D4D9E" w:rsidRDefault="00D57DDC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t>Первичное публичное размещение акций российских компаний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В настоящее время в странах с развитой экономикой публичное размещение акций широко применяется в качестве механизма заимствования денежных средств для дальнейшего развития бизнеса. В России же до недавнего времени с этим источником финансирования компании были мало знакомы. Это подтверждает многолетняя история существования крупнейших мировых бирж, таких как Лондонская, Нью-Йоркская и Немецкая</w:t>
      </w:r>
      <w:r w:rsidR="008D4D9E" w:rsidRPr="008D4D9E">
        <w:rPr>
          <w:noProof/>
          <w:color w:val="000000"/>
          <w:sz w:val="28"/>
          <w:szCs w:val="28"/>
        </w:rPr>
        <w:t>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Однако в связи с активным развитием рыночных отношений в России и, как следствие, малого, среднего и крупного предпринимательства, необходимость в поиске новых источников финансирования проявляется особо резко. Уже становится недостаточным использование такого более привычного до недавнего времени для россиян источника привлечения денежных средств, как кредитование. На фоне этого в последнее время на отечественном рынке наблюдается интенсивное развитие альтернативного источника финансирования – IPO (первичного публичного размещения акций).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Но дальнейшему качественному развитию этого механизма мешает ряд проблем:</w:t>
      </w:r>
    </w:p>
    <w:p w:rsidR="0025573E" w:rsidRPr="008D4D9E" w:rsidRDefault="009B6F63" w:rsidP="0025573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плохая осведомленность компаний о механизме и выгодах размещения акций;</w:t>
      </w:r>
    </w:p>
    <w:p w:rsidR="0025573E" w:rsidRPr="008D4D9E" w:rsidRDefault="009B6F63" w:rsidP="0025573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слабо проработанное законодательство в сфере публичного размещения акций;</w:t>
      </w:r>
    </w:p>
    <w:p w:rsidR="0025573E" w:rsidRPr="008D4D9E" w:rsidRDefault="009B6F63" w:rsidP="0025573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недостаточные возможности рынка конкурировать с международными площадками в области объемов привлеченных средств.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Для совершенствования источников инвестирования необходимо:</w:t>
      </w:r>
    </w:p>
    <w:p w:rsidR="0025573E" w:rsidRPr="008D4D9E" w:rsidRDefault="009B6F63" w:rsidP="0025573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повысить уровень привлекательности внутреннего рынка как для отечественных, так и для западных инвесторов;</w:t>
      </w:r>
    </w:p>
    <w:p w:rsidR="0025573E" w:rsidRPr="008D4D9E" w:rsidRDefault="009B6F63" w:rsidP="0025573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сделать более доступной и прозрачной информацию, касающуюся механизмов и выгод публичного размещения акций по сравнению с другими источниками финансирования;</w:t>
      </w:r>
    </w:p>
    <w:p w:rsidR="0025573E" w:rsidRPr="008D4D9E" w:rsidRDefault="009B6F63" w:rsidP="0025573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разрабатывать и совершенствовать законодательную базу в области (первичного) публичного размещения акций.</w:t>
      </w:r>
    </w:p>
    <w:p w:rsidR="009B6F63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br w:type="page"/>
      </w:r>
      <w:r w:rsidR="009B6F63" w:rsidRPr="008D4D9E">
        <w:rPr>
          <w:b/>
          <w:bCs/>
          <w:noProof/>
          <w:color w:val="000000"/>
          <w:sz w:val="28"/>
          <w:szCs w:val="28"/>
        </w:rPr>
        <w:t>Оценка экономической и бюджетной эффективности предприятий топливно-энергетического комплекса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Одной из насущных проблем развития российской экономики является повышение эффективности взаимодействия крупнейших промышленных предприятий и государства. Особую значимость имеет топливно-энергетический комплекс (ТЭК), занимающий ключевое место в экономике России. При численности населения России около 2,5% от всего населения Земли, страна располагает 45% потенциальных мировых запасов природного газа, 13% нефти, 23% угля и 14% урана, т.е. в целом почти 30% всего энергетического природного потенциала Планеты. Россия добывает и производит более 10% всех первичных энергоресурсов в мире.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Цель исследования состоит в совершенствовании организационно-экономического механизма оценки совершенствования бюджетной и коммерческой эффективности промышленных предприятий Самарской области, на основе взаимодействия отраслей промышленности и институтов финансовой, экономической и фискальной политики государства. Методы решения задач: методы трендового, статистического, экономического, социологического и логического анализа, методы экспертных оценок, экономико-математические методы с применением компьютерной обработки данных.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Государство и предприятия, в частности ТЭК, представляют собой взаимосвязанный механизм, в котором реализуется коммерческая и бюджетная эффективность, реализующийся через систему налогообложения. На сегодняшний день основная часть Стабилизационного фонда образована за счет поступления налога на добычу полезных ископаемых и вывозных пошлин. Доля ТЭК в налоговых поступлениях в бюджетную систему России составила в 2003 г. – 26,5%, в 2004 г. – 41,2 %, в 2005 г. – 57,9%, в первом полугодии 2006 года – 51,5%. [2, с.479,579], [5]Рост поступления налога на прибыль обусловлен «повышением цен на продукцию топливно-энергетического комплекса и цен на металл, а также увеличением объемов реализации нефти и газа. Возросли и поступления по банковскому сектору экономики. Но это временная «премия» мировой конъюнктуры цен. Уже сегодня пересматривается прогноз мировых цен на нефть на 2007—2010 годы в сторону снижения. Очевидно, в таких условиях темп роста прибыли замедлится, а может быть, и снизится. В этом случае необходимо оценить риски исполнения показателей поступления налога на прибыль, заложенных в финансовом плане на 2007—2009 годы».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Увеличение доходов экспортеров, перераспределяемых внутри экономики, стимулирует интенсивное расширение внутренних рынков. Структура экспорта также демонстрирует постоянно растущую долю топливно-энергетических товаров, составляя в 2003 г. – 56,3%, в 2004 г. – 56,5%, в 2005 г. – 62,8%. Экспортно-сырьевые доходы компенсируют в среднем 65% совокупных расходов по разработке и эксплуатации месторождений нефти, никеля, олова; примерно 45% - природного и нефтяного газа, железной руды, фосфатов.</w:t>
      </w:r>
    </w:p>
    <w:p w:rsidR="009B6F63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Также наблюдается позитивная динамика высокого роста темпов практически по всем основным показателям финансово-хозяйственной деятельности организаций Самарской области за 2007 год, которая обусловлена увеличением сальдо прибылей и убытков в производство и распределение электроэнергии, газа и воды (в 2 раза), здравоохранение и предоставление социальных услуг (в 2 раза); предоставление прочих коммунальных, социальных и персональных услуг (в 1,7 раза); оптовая и розничная торговля (в 1,4 раза); транспорт и связь, обрабатывающие производства (в 1,3 раза). За 1-е полугодие 2007 года в бюджетную систему РФ с территории Самарской области поступило 68,5 млрд. рублей налогов, сборов и иных обязательных платежей, что на 18,2% больше, чем за аналогичный период предыдущего года. В результате доля Самарской области в общем объеме налогов, сборов и иных обязательных платежей в бюджетной системе Российской Федерации увеличилась с 2,3% в 2006 году до 2,4% в 2007 году.</w:t>
      </w:r>
    </w:p>
    <w:p w:rsidR="009B6F63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Объем налоговых поступлений в рассматриваемом периоде вырос на 26,6%, в т. ч. за счет роста налога на добавленную стоимость на 50,4%, НДФЛ на 30,3%, налогов на имущество на 26%. В государственные внебюджетные фонды (без ЕСН, зачисляемого в федеральный бюджет) поступило 25563,9 млн. руб., что на 23,8% больше аналогичного периода прошлого года. Высокий уровень доходов полученных бюджетом Самарской области за 2006г. от НДФЛ объясняется тем, что среднемесячная заработная плата начисленная работникам предприятий, занимающихся производством и распределением электроэнергии, газа и воды и обрабатывающих производств.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Влияние топливно-энергетического комплекса на экономику Самарской области очень существенно: обеспечивает регион бюджетными ресурсами, необходимых для реализации программ, направленных на снижение уровня бедности; является источником поступления иностранной валюты и других денежных средств; является источником инвестиций в развитие местной экономики, сферы образования и медицинского обслуживания, обеспечивает дополнительные возможности трудоустройства – с потенциалом получения более высокой заработной платы, чем в большинстве в других отраслях в данном регионе; обучение местной рабочей силы и т.п.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Мировой опыт функционирования нефтегазовых комплексов, связанных с добычей и последующей реализацией нефти и газа, показывает и доказывает необходимость активного участия государства в создании условий для его эффективной работы. Условием решения государством стоящих перед ним задач является наличие детально проработанной политики в рассматриваемой сфере экономики.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Проведенное исследование показало, что решение проблем политической и экономической стабильности в обществе требует определенной политики, выработанной государством, центральным моментом которой был бы человек, его благосостояние, физическое и социальное здоровье. Именно поэтому все преобразования, которые, так или иначе, могут повлечь изменение уровня жизни, вызывают большой интерес у самых разнообразных слоев населения.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Следует выделить несколько «волн» развития проектного финансирования в промышленности: в первой четверти ХХ в. появились проекты, связанные с добычей нефти в Пенсильвании и Техасе, в 70-х годах прошлого столетия стали реализовываться проекты освоения залежей нефти и газа в Северном море, в странах БРИК и Австралии; для 90-х годов ХХ в. характерны транснациональные приватизационные проекты в рамках реформы национальной электроэнергетики, общественной инфраструктуры (механизм ГЧП); наконец, в начале XXI в. проектное финансирование проникло в сферу телекоммуникаций. История развития проектного финансирования свидетельствует о востребованности этого способа финансирования в различных сферах производства товаров и услуг, емкость рынка которого в 2006 г. оценивалась в $149,4 млрд</w:t>
      </w:r>
      <w:r w:rsidR="00D57DDC" w:rsidRPr="008D4D9E">
        <w:rPr>
          <w:noProof/>
          <w:color w:val="000000"/>
          <w:sz w:val="28"/>
          <w:szCs w:val="28"/>
        </w:rPr>
        <w:t>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Основными преимуществами проектного финансирования являются: его адресно-целевой характер, возможность получения масштабных финансовых ресурсов, относительно невысокий уровень риска (по сравнению с венчурным финансированием). Однако и проектное финансирование не исключает финансовую неопределенность, связанную, в первую очередь, с рисками изменения цен на сырье и материалы, задержки срока ввода объектов в эксплуатацию, превышения первоначальной сметы проекта.</w:t>
      </w:r>
    </w:p>
    <w:p w:rsidR="00985E28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Проектное финансирование обнаруживает себя в разнообразных сферах и регионах. Так, в нефтегазовой отрасли более 30% проектов приходится на Восточную Европу (включая РФ), примерно по 15% реализуется в Австралии и Северной Америке, третье место занимает Африка, а замыкающими являются – страны Западной Европы, Восточной Азии и Латинской Америки. Все большее применение проектное финансирование находит в инфраструктурном сегменте, куда входит строительство трасс, авиационных и морских портов, космических объектов, крупных жилищно-коммунальных комплексов. Ценность инфраструктурных проектов в том, что они объективно содействуют процессам экономического и социально-культурного развития национальных экономических систем. Лидером в области инфраструктурных проектов выступает Западная Европа (около 40%). Широкую известность получило строительство международного порта в Брюсселе, общая стоимость которого составила €1,1 млрд. По сути, проект носил «спонсорский» характер, так как обеспечен подразделениями австралийского банка «Macquarie», который через собственные инфраструктурные фонды почти самостоятельно организовал проект, выступив инициатором консорциума из 15 европейских и австралийских банков («MABSA»), выдавших</w:t>
      </w:r>
      <w:r w:rsidR="00985E28" w:rsidRPr="008D4D9E">
        <w:rPr>
          <w:noProof/>
          <w:color w:val="000000"/>
          <w:sz w:val="28"/>
          <w:szCs w:val="28"/>
        </w:rPr>
        <w:t xml:space="preserve"> кредитов на сумму € 522,2 млн.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При этом инфраструктурные фонды и сам банк предоставили более €180 млн. Впоследствии ценные бумаги Международного аэропорта получили рейтинг надежности «S&amp;P» на уровне «BBB+», а показатель EBIT, начиная с 2004 г., получил устойчивые 25% прироста.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Опрос крупнейших участников рынка проектного финансирования в России показал, что приоритетными сферами выступают пищевая (перерабатывающая) промышленность, строительный сектор (производство стройматериалов в интересах местных застройщиков), сфера услуг (торгово-развлекательные и офисные центры), транспортная инфраструктура, логистика. Считается, что высоко рентабельными и, соответственно, быстро окупаемыми могут быть инвестиции в металлургию, машиностроение, агробизнес, гостиничное хозяйство. Традиционной «визитной карточкой» успеха реализации проектного финансирования в России выступает сырьевая отрасль (в 2000 г. – это «Голубой поток», «Северный поток», включая проект Штокмановского месторождения Газпрома, «СеверТЭК» Лукойла).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Острая проблема проектного финансирования в России связана с ограниченностью источников получения ресурсов. Совокупный объем доступных инвестиционных средств в России достигает сегодня уровня $44,3 млрд. Их обеспечивают банковский сектор, рынок корпоративных облигаций, рынок еврооблигаций, мезонинное кредитование российских предприятий за рубежом.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Перспективы развития проектного финансирования в России связаны с решением следующих задач:</w:t>
      </w:r>
    </w:p>
    <w:p w:rsidR="0025573E" w:rsidRPr="008D4D9E" w:rsidRDefault="009B6F63" w:rsidP="0025573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исследование механизма проектного финансирования на основе государственно-частного партнерства (с учетом российской специфики);</w:t>
      </w:r>
    </w:p>
    <w:p w:rsidR="0025573E" w:rsidRPr="008D4D9E" w:rsidRDefault="009B6F63" w:rsidP="0025573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оценка значения современной роли риск-менеджмента при реализации проектов, особенно крупных, проводимых на основе ГЧП;</w:t>
      </w:r>
    </w:p>
    <w:p w:rsidR="0025573E" w:rsidRPr="008D4D9E" w:rsidRDefault="009B6F63" w:rsidP="0025573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выделение региональных моделей проектного финансирования, поскольку они становятся все более распространенной кластерной финансовой технологией, позволяющей воплощать региональную экономическую политику;</w:t>
      </w:r>
    </w:p>
    <w:p w:rsidR="0025573E" w:rsidRPr="008D4D9E" w:rsidRDefault="009B6F63" w:rsidP="0025573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дифференциация роли банков в зависимости от специфики проектов и региональной экономической политики с последующей сегментацией банковского сектора проектного финансирования на группы (банки-универсалы, отраслевые банки, региональные).</w:t>
      </w:r>
    </w:p>
    <w:p w:rsidR="009B6F63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t>Таможенная политика на современном этапе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Таможенная политика предопределяет основные направления таможенного регулирования и таможенного дела. Основа таможенной политики проявляется в таможенно-тарифном законодательстве, организации таможенных союзов, таможенных конвенций, свободных таможенных зон и т.д.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Предстоящее вступление Азербайджана во Всемирную торговую организацию (ВТО) обязательно ставит перед государством новые задачи, в числе которых – создание благоприятных условий для партнерских отношений с участниками внешнеэкономической деятельности.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Важным шагом на этом пути является совершенствование нормативно-правовой базы функционирования таможенных органов. Так, разработанный, но еще не утвержденный новый таможенный кодекс заложит правовую основу для формирования соответствующей мировым стандартам системы таможенного контроля, основанной на управлении рисками и предусматривающей рациональное использование ресурсов таможенных органов с учетом необходимости снижения непроизводственных расходов бизнеса. К числу достоинств нового кодекса также следует отнести минимизацию барьеров во внешней торговле Азербайджанской Республики, а также тот факт, что теперь Таможенный кодекс во многом становится документом прямого действия.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Таможенная политика непосредственно связана с проблемой экономической безопасности, которая для Азербайджана по-прежнему остается одной из самых серьезных, так как все еще велико преобладание в отечественном экспорте сырьевых товаров; ограничены традиционные рынки сбыта машинотехнической продукции и т.д.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Другое направление таможенной политики Азербайджана посвящено решению проблемы иностранных инвестиций. Благоприятный инвестиционный климат предусматривает не только упрощение таможенных процедур, но и создание таможенных режимов переработки, которые способствовали бы международной кооперации производства. Таким образом, таможенная политика и ее практическая реализация опирается прежде всего на деятельность таможенных органов. Однако формирование и реализация таможенной политики – это довольно сложный процесс, в котором участвуют все органы государственной власти: и законодательная, и исполнительная, и судебная. При этом обязательно учитывается также мнение и участников внешнеэкономической деятельности.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Таможенная политика Азербайджана, как отмечалось выше, строится с учетом намерения вступить во Всемирную торговую организацию и стать полноправным участником мирового товарооборота. Участие Азербайджана в ВТО может дать стране множество преимуществ, в том числе: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улучшение существующих условий для доступа Азербайджанской продукции на иностранные рынки (отмена дискриминационных условий по ряду товарных групп);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доступ к международному механизму разрешения торговых споров;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создание более благоприятного климата для иностранных инвестиций в результате приведения законодательной системы в соответствие с нормами ВТО;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расширение возможностей для Азербайджанских инвесторов в странах–членах ВТО, в частности, банковской сфере;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создание условий для повышения качества и конкурентоспособности отечественной продукции в результате увеличения потока иностранных товаров, услуг и инвестиций на Азербайджанский рынок;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участие в выработке правил международной торговли с учетом своих национальных интересов;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- улучшение имиджа Азербайджана в мире как полноправного участника международной торговли.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Задача ведущихся переговоров о присоединении – добиться наилучших условий для Азербайджана, т.е. наиболее выгодного соотношения преимуществ от вступления и уступок виде снижения тарифов и открытия внутренних рынков.</w:t>
      </w:r>
    </w:p>
    <w:p w:rsidR="0025573E" w:rsidRPr="008D4D9E" w:rsidRDefault="009B6F63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Сохранение экономической суверенности страны в рамках переговоров по данному вопросу – стратегическое направление деятельности Азербайджанского государства в интересах Азербайджанских производителей.</w:t>
      </w:r>
    </w:p>
    <w:p w:rsidR="00985E28" w:rsidRPr="008D4D9E" w:rsidRDefault="00985E28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5E28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br w:type="page"/>
      </w:r>
      <w:r w:rsidR="00985E28" w:rsidRPr="008D4D9E">
        <w:rPr>
          <w:b/>
          <w:bCs/>
          <w:noProof/>
          <w:color w:val="000000"/>
          <w:sz w:val="28"/>
          <w:szCs w:val="28"/>
        </w:rPr>
        <w:t>Заключение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85E28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Таким образом, проектное финансирование представляет собой целостную систему, элементы которой охватывают все грани инвестиционного процесса. Независимо от формы проектного финансирования (венчурной, кооперационной, производственно-эксплуатационной, концессионной), его можно определить как способ организации финансирования инвестиционного проекта, при котором создается новая юридически обособленная компания. Основным обеспечением для обслуживания и возврата заемных средств выступают прогнозируемые проектные денежные потоки, а распределение рисков проекта между участниками носит субсидиарный характер.</w:t>
      </w:r>
    </w:p>
    <w:p w:rsidR="009B6F63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D4D9E">
        <w:rPr>
          <w:b/>
          <w:bCs/>
          <w:noProof/>
          <w:color w:val="000000"/>
          <w:sz w:val="28"/>
          <w:szCs w:val="28"/>
        </w:rPr>
        <w:br w:type="page"/>
      </w:r>
      <w:r w:rsidR="00D57DDC" w:rsidRPr="008D4D9E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8D4D9E" w:rsidRPr="008D4D9E" w:rsidRDefault="008D4D9E" w:rsidP="0025573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573E" w:rsidRPr="008D4D9E" w:rsidRDefault="009B6F63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Дж.Г.</w:t>
      </w:r>
      <w:r w:rsidR="008D4D9E" w:rsidRPr="008D4D9E">
        <w:rPr>
          <w:noProof/>
          <w:color w:val="000000"/>
          <w:sz w:val="28"/>
          <w:szCs w:val="28"/>
        </w:rPr>
        <w:t xml:space="preserve"> </w:t>
      </w:r>
      <w:r w:rsidRPr="008D4D9E">
        <w:rPr>
          <w:noProof/>
          <w:color w:val="000000"/>
          <w:sz w:val="28"/>
          <w:szCs w:val="28"/>
        </w:rPr>
        <w:t>Гасанов Таможенная служба в системе государственного регулирования внешнеэкономической деятельности Азерб</w:t>
      </w:r>
      <w:r w:rsidR="00D57DDC" w:rsidRPr="008D4D9E">
        <w:rPr>
          <w:noProof/>
          <w:color w:val="000000"/>
          <w:sz w:val="28"/>
          <w:szCs w:val="28"/>
        </w:rPr>
        <w:t>айджанской республики. Баку -200</w:t>
      </w:r>
      <w:r w:rsidRPr="008D4D9E">
        <w:rPr>
          <w:noProof/>
          <w:color w:val="000000"/>
          <w:sz w:val="28"/>
          <w:szCs w:val="28"/>
        </w:rPr>
        <w:t>9.</w:t>
      </w:r>
    </w:p>
    <w:p w:rsidR="009B6F63" w:rsidRPr="008D4D9E" w:rsidRDefault="009B6F63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А.Д.</w:t>
      </w:r>
      <w:r w:rsidR="008D4D9E" w:rsidRPr="008D4D9E">
        <w:rPr>
          <w:noProof/>
          <w:color w:val="000000"/>
          <w:sz w:val="28"/>
          <w:szCs w:val="28"/>
        </w:rPr>
        <w:t xml:space="preserve"> </w:t>
      </w:r>
      <w:r w:rsidRPr="008D4D9E">
        <w:rPr>
          <w:noProof/>
          <w:color w:val="000000"/>
          <w:sz w:val="28"/>
          <w:szCs w:val="28"/>
        </w:rPr>
        <w:t>Ершов. Международное таможенные от</w:t>
      </w:r>
      <w:r w:rsidR="00D57DDC" w:rsidRPr="008D4D9E">
        <w:rPr>
          <w:noProof/>
          <w:color w:val="000000"/>
          <w:sz w:val="28"/>
          <w:szCs w:val="28"/>
        </w:rPr>
        <w:t>ношения. Санкт – Петербург- 2007</w:t>
      </w:r>
      <w:r w:rsidRPr="008D4D9E">
        <w:rPr>
          <w:noProof/>
          <w:color w:val="000000"/>
          <w:sz w:val="28"/>
          <w:szCs w:val="28"/>
        </w:rPr>
        <w:t>.</w:t>
      </w:r>
    </w:p>
    <w:p w:rsidR="0025573E" w:rsidRPr="008D4D9E" w:rsidRDefault="008D4D9E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О</w:t>
      </w:r>
      <w:r w:rsidR="009B6F63" w:rsidRPr="008D4D9E">
        <w:rPr>
          <w:noProof/>
          <w:color w:val="000000"/>
          <w:sz w:val="28"/>
          <w:szCs w:val="28"/>
        </w:rPr>
        <w:t>сновы таможенного дел</w:t>
      </w:r>
      <w:r w:rsidRPr="008D4D9E">
        <w:rPr>
          <w:noProof/>
          <w:color w:val="000000"/>
          <w:sz w:val="28"/>
          <w:szCs w:val="28"/>
        </w:rPr>
        <w:t>а</w:t>
      </w:r>
      <w:r w:rsidR="009B6F63" w:rsidRPr="008D4D9E">
        <w:rPr>
          <w:noProof/>
          <w:color w:val="000000"/>
          <w:sz w:val="28"/>
          <w:szCs w:val="28"/>
        </w:rPr>
        <w:t>: Учебник/ Под общ. Ред.</w:t>
      </w:r>
      <w:r w:rsidR="00D57DDC" w:rsidRPr="008D4D9E">
        <w:rPr>
          <w:noProof/>
          <w:color w:val="000000"/>
          <w:sz w:val="28"/>
          <w:szCs w:val="28"/>
        </w:rPr>
        <w:t xml:space="preserve"> В.Г. Драгонова.М: Экономика 200</w:t>
      </w:r>
      <w:r w:rsidR="009B6F63" w:rsidRPr="008D4D9E">
        <w:rPr>
          <w:noProof/>
          <w:color w:val="000000"/>
          <w:sz w:val="28"/>
          <w:szCs w:val="28"/>
        </w:rPr>
        <w:t>8.</w:t>
      </w:r>
    </w:p>
    <w:p w:rsidR="0025573E" w:rsidRPr="008D4D9E" w:rsidRDefault="009B6F63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Тимошенко И.В. Таможе</w:t>
      </w:r>
      <w:r w:rsidR="00D57DDC" w:rsidRPr="008D4D9E">
        <w:rPr>
          <w:noProof/>
          <w:color w:val="000000"/>
          <w:sz w:val="28"/>
          <w:szCs w:val="28"/>
        </w:rPr>
        <w:t>нное регулирование ВЭД. М., 2008</w:t>
      </w:r>
      <w:r w:rsidRPr="008D4D9E">
        <w:rPr>
          <w:noProof/>
          <w:color w:val="000000"/>
          <w:sz w:val="28"/>
          <w:szCs w:val="28"/>
        </w:rPr>
        <w:t>.</w:t>
      </w:r>
    </w:p>
    <w:p w:rsidR="0025573E" w:rsidRPr="008D4D9E" w:rsidRDefault="009B6F63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Халипов</w:t>
      </w:r>
      <w:r w:rsidR="00D57DDC" w:rsidRPr="008D4D9E">
        <w:rPr>
          <w:noProof/>
          <w:color w:val="000000"/>
          <w:sz w:val="28"/>
          <w:szCs w:val="28"/>
        </w:rPr>
        <w:t xml:space="preserve"> С.В. Таможенное право. М., 2009</w:t>
      </w:r>
      <w:r w:rsidRPr="008D4D9E">
        <w:rPr>
          <w:noProof/>
          <w:color w:val="000000"/>
          <w:sz w:val="28"/>
          <w:szCs w:val="28"/>
        </w:rPr>
        <w:t>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Коллис Д.Дж., Монтгомери С.А. Корпоративная стратегия. Ресурсный подход / пер. с англ. – М.: ЗАО “Олимп-Бизнес”, 2009.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VBM – управление, основанное на стоимости: корпоративный ответ революции акционеров; Джон Д. Мартин, Дж. Вильям Петти – пер. с англ. – Днепропетровск: Баланс Бизнес Букс, 2006.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Трансформирование функции финансов, М. Маргарет: пер. с англ. – М.: ИНФРА-М, 2008.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Баринов А.Э.// «Project financing», 2007.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Йескомб Э.Р.// «Principles of Project Finance», 2008.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Нестеренко Р.Б. «Механизм проектного финансирования» // ж. «Рынок ценных бумаг», 2008.</w:t>
      </w:r>
    </w:p>
    <w:p w:rsidR="0025573E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Постановление Самарской Губернской Думы от 25.09.2007 № 225 «Итоги социально-экономического развития Самарской области за 1 полугодие 2007 года и оценка итогов развития за год»</w:t>
      </w:r>
    </w:p>
    <w:p w:rsidR="00D57DDC" w:rsidRPr="008D4D9E" w:rsidRDefault="00D57DDC" w:rsidP="008D4D9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4D9E">
        <w:rPr>
          <w:noProof/>
          <w:color w:val="000000"/>
          <w:sz w:val="28"/>
          <w:szCs w:val="28"/>
        </w:rPr>
        <w:t>Труд и занятость в России. 2007: Стат.сб./Росстат. − Т78 M., 2008.</w:t>
      </w:r>
      <w:bookmarkStart w:id="0" w:name="_GoBack"/>
      <w:bookmarkEnd w:id="0"/>
    </w:p>
    <w:sectPr w:rsidR="00D57DDC" w:rsidRPr="008D4D9E" w:rsidSect="0025573E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DA" w:rsidRDefault="00BC49DA">
      <w:r>
        <w:separator/>
      </w:r>
    </w:p>
  </w:endnote>
  <w:endnote w:type="continuationSeparator" w:id="0">
    <w:p w:rsidR="00BC49DA" w:rsidRDefault="00BC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3E" w:rsidRDefault="0025573E" w:rsidP="0025573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DA" w:rsidRDefault="00BC49DA">
      <w:r>
        <w:separator/>
      </w:r>
    </w:p>
  </w:footnote>
  <w:footnote w:type="continuationSeparator" w:id="0">
    <w:p w:rsidR="00BC49DA" w:rsidRDefault="00BC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E28" w:rsidRDefault="007F609A" w:rsidP="0032589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85E28" w:rsidRDefault="00985E28" w:rsidP="00985E2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BA550B"/>
    <w:multiLevelType w:val="hybridMultilevel"/>
    <w:tmpl w:val="A78038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45F54B"/>
    <w:multiLevelType w:val="hybridMultilevel"/>
    <w:tmpl w:val="CFAD7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AA2EB6"/>
    <w:multiLevelType w:val="hybridMultilevel"/>
    <w:tmpl w:val="E1BDF4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A8993A"/>
    <w:multiLevelType w:val="hybridMultilevel"/>
    <w:tmpl w:val="BD79289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300EB9"/>
    <w:multiLevelType w:val="hybridMultilevel"/>
    <w:tmpl w:val="CD0E92E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99CE0B"/>
    <w:multiLevelType w:val="hybridMultilevel"/>
    <w:tmpl w:val="8C21B5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BD2AE0E"/>
    <w:multiLevelType w:val="hybridMultilevel"/>
    <w:tmpl w:val="8BC9AB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2C9FBFA"/>
    <w:multiLevelType w:val="hybridMultilevel"/>
    <w:tmpl w:val="606163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42158D0"/>
    <w:multiLevelType w:val="hybridMultilevel"/>
    <w:tmpl w:val="DFDEF3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CF35FCB"/>
    <w:multiLevelType w:val="hybridMultilevel"/>
    <w:tmpl w:val="5EEC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D1193"/>
    <w:multiLevelType w:val="hybridMultilevel"/>
    <w:tmpl w:val="C4B051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F41EB00"/>
    <w:multiLevelType w:val="hybridMultilevel"/>
    <w:tmpl w:val="3A0765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E18EF3"/>
    <w:multiLevelType w:val="hybridMultilevel"/>
    <w:tmpl w:val="45C3B4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63DCF0B"/>
    <w:multiLevelType w:val="hybridMultilevel"/>
    <w:tmpl w:val="6B6CB1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F63"/>
    <w:rsid w:val="00224BC1"/>
    <w:rsid w:val="0025573E"/>
    <w:rsid w:val="0032589C"/>
    <w:rsid w:val="005F04A2"/>
    <w:rsid w:val="00637269"/>
    <w:rsid w:val="00753C8F"/>
    <w:rsid w:val="007E461B"/>
    <w:rsid w:val="007F609A"/>
    <w:rsid w:val="0086260A"/>
    <w:rsid w:val="008D4D9E"/>
    <w:rsid w:val="008E2599"/>
    <w:rsid w:val="008E39D0"/>
    <w:rsid w:val="00985E28"/>
    <w:rsid w:val="009B6F63"/>
    <w:rsid w:val="00BC49DA"/>
    <w:rsid w:val="00D57DDC"/>
    <w:rsid w:val="00E2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5BA523-A48F-4F5A-9C19-052EB97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5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85E28"/>
  </w:style>
  <w:style w:type="paragraph" w:styleId="a6">
    <w:name w:val="footer"/>
    <w:basedOn w:val="a"/>
    <w:link w:val="a7"/>
    <w:uiPriority w:val="99"/>
    <w:rsid w:val="00255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23703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2014-03-13T03:47:00Z</dcterms:created>
  <dcterms:modified xsi:type="dcterms:W3CDTF">2014-03-13T03:47:00Z</dcterms:modified>
</cp:coreProperties>
</file>