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568" w:rsidRDefault="00B50568" w:rsidP="007D6E96"/>
    <w:p w:rsidR="00C73E8A" w:rsidRDefault="00C73E8A" w:rsidP="007D6E96">
      <w:r>
        <w:t>Взаимодействие семейного права с другими отраслями права</w:t>
      </w:r>
    </w:p>
    <w:p w:rsidR="00C73E8A" w:rsidRDefault="00C73E8A" w:rsidP="007D6E96">
      <w:r>
        <w:t>Наиболее тесное взаимодействие существует между нормами семейного и гражданского права. Согласно ст. 4 СК РФ к имущественным и личным неимущественным отношениям между членами семьи, не урегулированным семейным законодательством, применяется гражданское законодательство в рамках, не противоречащих существу семейных отношений. Случаи такого применения рассматриваются в темах, посвященных отдельным семейно-правовым институтам.</w:t>
      </w:r>
    </w:p>
    <w:p w:rsidR="00C73E8A" w:rsidRDefault="00C73E8A" w:rsidP="007D6E96">
      <w:r>
        <w:t>По предмету правового регулирования некоторые авторы отождествляют семейное право с институтом гражданского права. Несмотря на то, что гражданское право тоже регулирует имущественные и личные неимущественные отношения, такой вывод представляется спорным и разделяется не всеми специалистами в области семейного права (Ворожейкин Е.М., Рясенцев В.А., Матвеев Г.К., Нечаева А.М. и др.).</w:t>
      </w:r>
    </w:p>
    <w:p w:rsidR="00C73E8A" w:rsidRDefault="00C73E8A" w:rsidP="007D6E96">
      <w:r>
        <w:t>Различие предметов семейного и гражданского права состоит в следующем:</w:t>
      </w:r>
    </w:p>
    <w:p w:rsidR="00C73E8A" w:rsidRDefault="00C73E8A" w:rsidP="007D6E96">
      <w:r>
        <w:t>имущественные отношения в гражданском праве, в отличие от семейного, носят в основном стоимостный характер и строятся на возмездной основе;</w:t>
      </w:r>
    </w:p>
    <w:p w:rsidR="00C73E8A" w:rsidRDefault="00C73E8A" w:rsidP="007D6E96">
      <w:r>
        <w:t>имущественные отношения, регулируемые брачно-семейным законодательством, тесно связаны с личными отношениями; в гражданском праве такой связи нет;</w:t>
      </w:r>
    </w:p>
    <w:p w:rsidR="00C73E8A" w:rsidRDefault="00C73E8A" w:rsidP="007D6E96">
      <w:r>
        <w:t>семейные правоотношения складываются между строго определенными субъектами; юридические лица в семейных правоотношениях не участвуют;</w:t>
      </w:r>
    </w:p>
    <w:p w:rsidR="00C73E8A" w:rsidRDefault="00C73E8A" w:rsidP="007D6E96">
      <w:r>
        <w:t>во многих гражданских правоотношениях срок имеет существенное значение; семейные правоотношения носят, как правило, длящийся характер, и срок в них не указывается;</w:t>
      </w:r>
    </w:p>
    <w:p w:rsidR="00C73E8A" w:rsidRDefault="00C73E8A" w:rsidP="007D6E96">
      <w:r>
        <w:t>основной формой существования гражданских правоотношений является договор; в семейном праве применение договоров ограничено: брачный договор, соглашение об уплате алиментов, договор о передаче детей на воспитание в семью.</w:t>
      </w:r>
    </w:p>
    <w:p w:rsidR="00C73E8A" w:rsidRDefault="00C73E8A" w:rsidP="007D6E96">
      <w:r>
        <w:t>Семейное право находится под активным воздействием государственного права. Цели и принципы правового регулирования семейных отношений связаны с положениями Конституции РФ, определяющими основные права и свободы граждан (ст. 17, 19, 23, 27, 33, 35, 37, 38, 43, 46). Так, закрепленное в ст. 38 Конституции РФ положение о защите государством семьи, материнства и детства нашло воплощение в ст. 1 СК РФ: семья, материнство, отцовство и детство находятся под защитой государства. Семейное законодательство исходит из необходимости укрепления семьи.</w:t>
      </w:r>
    </w:p>
    <w:p w:rsidR="00C73E8A" w:rsidRDefault="00C73E8A" w:rsidP="007D6E96">
      <w:r>
        <w:t>Конституционный принцип равноправия граждан независимо от пола, расы, национальности, языка, происхождения (ст. 19 Конституции РФ) отражен в п. 4 ст. 1 СК РФ, согласно которому “запрещаются любые формы ограничения прав граждан при вступлении в брак и в семейных отношениях по признакам социальной, расовой, национальной, языковой или религиозной принадлежности”.</w:t>
      </w:r>
    </w:p>
    <w:p w:rsidR="00C73E8A" w:rsidRDefault="00C73E8A" w:rsidP="007D6E96">
      <w:r>
        <w:t>Требование государственной регистрации определенной группы юридических фактов, влекущих возникновение или прекращение семейных правоотношений, обусловливает необходимость применения административно-правовых норм. Порядок государственной регистрации и расторжения брака, рождения, усыновления, смерти определяется Федеральным законом “Об актах гражданского состояния” от 22 октября 1997 г.</w:t>
      </w:r>
    </w:p>
    <w:p w:rsidR="00C73E8A" w:rsidRDefault="00C73E8A" w:rsidP="007D6E96">
      <w:r>
        <w:t>Институты опеки и попечительства над несовершеннолетними детьми, усыновления, приемной семьи, помимо семейного законодательства, включают Положение об органах опеки и попечительства от 30 апреля 1986 г.</w:t>
      </w:r>
    </w:p>
    <w:p w:rsidR="00C73E8A" w:rsidRDefault="00C73E8A" w:rsidP="007D6E96">
      <w:r>
        <w:t>В алиментных обязательствах применяются такие понятия, как нетрудоспособность, нуждаемость, заработок, минимальный размер оплаты труда, которые определяются в трудовом праве.</w:t>
      </w:r>
    </w:p>
    <w:p w:rsidR="00C73E8A" w:rsidRDefault="00C73E8A" w:rsidP="007D6E96">
      <w:r>
        <w:t>В ст. 109 СК РФ закреплена обязанность администрации организации по месту работы лица, обязанного уплачивать алименты, удерживать их. Статья 111 СК РФ возлагает на администрацию организации обязанность сообщать о перемене места работы лица, обязанного уплачивать алименты, а ст. 117 СК РФ — обязанность производить индексацию алиментов пропорционально увеличению установленного законом минимального размера оплаты труда.</w:t>
      </w:r>
    </w:p>
    <w:p w:rsidR="00C73E8A" w:rsidRDefault="00C73E8A" w:rsidP="007D6E96">
      <w:r>
        <w:t>Перечисление алиментных платежей производится через учреждения банковской системы, деятельность которых регламентируется нормами финансового права. Этой же отраслью определяются размер и порядок взыскания государственной пошлины за регистрацию расторжения брака. В отделениях Сберегательного банка Российской Федерации открываются счета на имя детей, оставшихся без попечения родителей.</w:t>
      </w:r>
    </w:p>
    <w:p w:rsidR="00C73E8A" w:rsidRDefault="00C73E8A" w:rsidP="007D6E96">
      <w:r>
        <w:t>Стоит остановиться на взаимодействии семейного и уголовного права, хотя они и не относятся к смежным отраслям. Основанием применения семейно-правовой ответственности является состав правонарушения в полном или усеченном объеме. Понятие вины как элемента состава правонарушения наиболее полно разработано в теории уголовного права. На защиту прав и интересов семьи в целом и несовершеннолетних детей в отдельности направлены нормы гл. 20 УК РФ, которые предусматривают ответственность за следующие правонарушения:</w:t>
      </w:r>
    </w:p>
    <w:p w:rsidR="00C73E8A" w:rsidRDefault="00C73E8A" w:rsidP="007D6E96">
      <w:r>
        <w:t>вовлечение несовершеннолетних в совершение преступления (ст. 150);</w:t>
      </w:r>
    </w:p>
    <w:p w:rsidR="00C73E8A" w:rsidRDefault="00C73E8A" w:rsidP="007D6E96">
      <w:r>
        <w:t>вовлечение несовершеннолетнего в совершение антиобщественных действий (ст. 151);</w:t>
      </w:r>
    </w:p>
    <w:p w:rsidR="00C73E8A" w:rsidRDefault="00C73E8A" w:rsidP="007D6E96">
      <w:r>
        <w:t>торговля несовершеннолетними (ст. 152);</w:t>
      </w:r>
    </w:p>
    <w:p w:rsidR="00C73E8A" w:rsidRDefault="00C73E8A" w:rsidP="007D6E96">
      <w:r>
        <w:t>подмена ребенка (ст. 153);</w:t>
      </w:r>
    </w:p>
    <w:p w:rsidR="00C73E8A" w:rsidRDefault="00C73E8A" w:rsidP="007D6E96">
      <w:r>
        <w:t>незаконное усыновление (удочерение) (ст. 154);</w:t>
      </w:r>
    </w:p>
    <w:p w:rsidR="00C73E8A" w:rsidRDefault="00C73E8A" w:rsidP="007D6E96">
      <w:r>
        <w:t>неразглашение тайны усыновления (удочерения) (ст. 155);</w:t>
      </w:r>
    </w:p>
    <w:p w:rsidR="00C73E8A" w:rsidRDefault="00C73E8A" w:rsidP="007D6E96">
      <w:r>
        <w:t>неисполнение обязанностей по воспитанию несовершеннолетнего (ст. 156);</w:t>
      </w:r>
    </w:p>
    <w:p w:rsidR="00C73E8A" w:rsidRPr="007D6E96" w:rsidRDefault="00C73E8A" w:rsidP="007D6E96">
      <w:r>
        <w:t>злостное уклонение от уплаты средств на содержание детей или нетрудоспособных родителей (ст. 157).</w:t>
      </w:r>
      <w:bookmarkStart w:id="0" w:name="_GoBack"/>
      <w:bookmarkEnd w:id="0"/>
    </w:p>
    <w:sectPr w:rsidR="00C73E8A" w:rsidRPr="007D6E96" w:rsidSect="00584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9BF"/>
    <w:rsid w:val="0018726B"/>
    <w:rsid w:val="00313C54"/>
    <w:rsid w:val="00584B72"/>
    <w:rsid w:val="006B5090"/>
    <w:rsid w:val="007D6E96"/>
    <w:rsid w:val="009863C2"/>
    <w:rsid w:val="00A75A36"/>
    <w:rsid w:val="00A8763E"/>
    <w:rsid w:val="00AB10BA"/>
    <w:rsid w:val="00B50568"/>
    <w:rsid w:val="00C73E8A"/>
    <w:rsid w:val="00F0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FE863-7E02-43FF-875C-929B4093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B7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Взаимодействие семейного права с другими отраслями права</vt:lpstr>
    </vt:vector>
  </TitlesOfParts>
  <Company/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Взаимодействие семейного права с другими отраслями права</dc:title>
  <dc:subject/>
  <dc:creator>Седова.В О</dc:creator>
  <cp:keywords/>
  <dc:description/>
  <cp:lastModifiedBy>Irina</cp:lastModifiedBy>
  <cp:revision>2</cp:revision>
  <dcterms:created xsi:type="dcterms:W3CDTF">2014-08-13T15:58:00Z</dcterms:created>
  <dcterms:modified xsi:type="dcterms:W3CDTF">2014-08-13T15:58:00Z</dcterms:modified>
</cp:coreProperties>
</file>