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41" w:rsidRPr="0064386A" w:rsidRDefault="00AC0E41" w:rsidP="00AC0E41">
      <w:pPr>
        <w:spacing w:before="120"/>
        <w:jc w:val="center"/>
        <w:rPr>
          <w:b/>
          <w:bCs/>
          <w:sz w:val="32"/>
          <w:szCs w:val="32"/>
        </w:rPr>
      </w:pPr>
      <w:r w:rsidRPr="0064386A">
        <w:rPr>
          <w:b/>
          <w:bCs/>
          <w:sz w:val="32"/>
          <w:szCs w:val="32"/>
        </w:rPr>
        <w:t xml:space="preserve">Взаимодействие средств, применяемых для лечения соматических заболеваний, и психотропных препаратов </w:t>
      </w:r>
    </w:p>
    <w:p w:rsidR="00AC0E41" w:rsidRPr="0064386A" w:rsidRDefault="00AC0E41" w:rsidP="00AC0E41">
      <w:pPr>
        <w:spacing w:before="120"/>
        <w:ind w:firstLine="567"/>
        <w:jc w:val="both"/>
        <w:rPr>
          <w:sz w:val="28"/>
          <w:szCs w:val="28"/>
        </w:rPr>
      </w:pPr>
      <w:r w:rsidRPr="0064386A">
        <w:rPr>
          <w:sz w:val="28"/>
          <w:szCs w:val="28"/>
        </w:rPr>
        <w:t>М.Ю. Дробижев</w:t>
      </w:r>
    </w:p>
    <w:p w:rsidR="00AC0E41" w:rsidRDefault="00AC0E41" w:rsidP="00AC0E41">
      <w:pPr>
        <w:spacing w:before="120"/>
        <w:ind w:firstLine="567"/>
        <w:jc w:val="both"/>
      </w:pPr>
      <w:r w:rsidRPr="00AD17B4">
        <w:t xml:space="preserve">При лечении психических расстройств у пациентов, страдающих соматическими заболеваниями (СЗ), могут возникать показания к одновременному назначению различных видов психотропной терапии и средств, используемых в клинике внутренних болезней. При этом необходимо учитывать возможность перекрестного влияния такой фармакотерапии на функции центральной нервной системы (ЦНС) и внутренних органов, а также особенности лекарственных взаимодействий препаратов. Исследованию данных проблем посвящены многочисленные работы [1 – 7]. При этом подчеркивается, что наиболее важным в аспекте практического применения является изучение влияния психотропных средств на деятельность внутренних органов (так называемые соматотропные эффекты психофармакотерапии) </w:t>
      </w:r>
      <w:hyperlink r:id="rId4" w:anchor="R1#R1" w:history="1">
        <w:r w:rsidRPr="00AD17B4">
          <w:rPr>
            <w:rStyle w:val="a3"/>
            <w:vertAlign w:val="superscript"/>
          </w:rPr>
          <w:t>1</w:t>
        </w:r>
      </w:hyperlink>
      <w:r w:rsidRPr="00AD17B4">
        <w:t>, а также лекарственных взаимодействий психо- и соматотропных препаратов.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Целью настоящего обзора является систематизация имеющихся в литературе данных по указанной проблеме</w:t>
      </w:r>
      <w:hyperlink r:id="rId5" w:anchor="R2#R2" w:history="1">
        <w:r w:rsidRPr="00AD17B4">
          <w:rPr>
            <w:rStyle w:val="a3"/>
            <w:vertAlign w:val="superscript"/>
          </w:rPr>
          <w:t>2</w:t>
        </w:r>
      </w:hyperlink>
      <w:r w:rsidRPr="00AD17B4">
        <w:t>. Наибольшее внимание уделено лекарственным взаимодействиям соматотропных средств и транквилизаторов, антидепрессантов (тимолептиков), нейролептиков (антипсихотических средств) и нормотимиков, поскольку психотропные средства данных классов чаще всего используют при лечении психических расстройств [8, 9]. В то же время опускаются данные о некоторых иных психофармакотерапевтических медикаментах, которые либо сравнительно редко назначаются в комбинации с соматотропными веществами (психостимуляторы), либо почти не вступают с ними в клинически значимые взаимодействия (ноотропы) [4, 10].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При сочетании производных метилксантина (эуфиллин, теофиллин) с бензодиазепиновыми транквилизаторами может произойти незначительное повышение артериального давления, а также ускорение биотрансформации теофиллина [1]. Известно, что фармакологические эффекты ингаляционных симпатомиметиков потенцируются трициклическими антидепрессантами (ТЦА) и селективными блокаторами обратного захвата норадреналина (СБОЗН) вплоть до развития токсического воздействия на сердечно-сосудистую систему [11 – 13]. Так, показано, что при сочетании изадрина и амитриптилина возможно появление тахикардии и аритмии сердца [1]. Неблагоприятные воздействия на сердечно-сосудистую систему могут наблюдаться и при использовании периферических a</w:t>
      </w:r>
      <w:r w:rsidRPr="00AD17B4">
        <w:rPr>
          <w:vertAlign w:val="subscript"/>
        </w:rPr>
        <w:t>1</w:t>
      </w:r>
      <w:r w:rsidRPr="00AD17B4">
        <w:t>-адреномиметиков нафазолина (нафтизин) и ксилометазолина (галазолин) на фоне приема СБОЗН (мапротилин). При этом отмечаются тахикардия, развитие гипертонических кризов [11]. Общеизвестна необходимость избегать совместного назначения b-адреномиметиков (изадрин), периферических a-адреномиметиков (нафазолин, ксилометазолин) с ингибиторами моноаминоксидазы (ИМАО) из-за опасности развития гипертонических кризов, гипертермии, судорог и даже летального исхода</w:t>
      </w:r>
      <w:hyperlink r:id="rId6" w:anchor="R3#R3" w:history="1">
        <w:r w:rsidRPr="00AD17B4">
          <w:rPr>
            <w:rStyle w:val="a3"/>
            <w:vertAlign w:val="superscript"/>
          </w:rPr>
          <w:t>3</w:t>
        </w:r>
      </w:hyperlink>
      <w:r w:rsidRPr="00AD17B4">
        <w:t xml:space="preserve"> [1, 3, 12, 14]. При сочетании теофиллина с некоторыми селективными ингибиторами обратного захвата серотонина (СИОЗС), в частности с флувоксамином и пароксетином, отмечается клинически значимое увеличение содержания теофиллина в плазме крови с возможностью развития серьезных побочных проявлений (нарушения сердечного ритма) [12, 15, 16]. Наконец, при совместном применении теофиллина и ИМАО может наблюдаться небольшое повышение артериального давления [1]. Производные метилксантина уменьшают прямой психотропный эффект солей лития [1, 6, 17]. При сочетании теофиллина с карбамазепином происходит снижение фармакологических эффектов первого препарата [12, 18].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 xml:space="preserve">При сочетании центрального a-адреномиметика клонидина (клофелин) с транквилизаторами возможно усиление гипотензивного эффекта и угнетающего действия на ЦНС [1, 12]. ТЦА уменьшают гипотензивный эффект клонидина. Имеются даже указания на клинически значимый гипертензивный эффект сочетания клонидина с имипрамином или дезипрамином, метилдопа с любыми ТЦА [4, 8, 11, 14, 17, 19, 20]. Совместное назначение клонидина и ТЦА может также привести к усилению угнетающего действия на ЦНС [1, 11, 12]. При внезапной же отмене ТЦА и СБОЗН (мапротилин) может произойти резкое снижение артериального давления за счет восстановления гипотензивного эффекта центральных a-адреномиметиков. 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Нейролептики – производные фенотиазина, а также блокаторы D</w:t>
      </w:r>
      <w:r w:rsidRPr="00AD17B4">
        <w:rPr>
          <w:vertAlign w:val="superscript"/>
        </w:rPr>
        <w:t>2</w:t>
      </w:r>
      <w:r w:rsidRPr="00AD17B4">
        <w:t>-допаминовых рецепторов (тиаприд) снижают гипотензивный эффект препаратов группы клонидина. При этом возможно увеличение собственной токсичности антипсихотических средств (седативное действие, экстрапирамидные расстройства) [1, 8, 13, 14, 16, 19, 21]. При сочетанном применении a-адреномиметиков с солями лития наблюдается взаимное cнижение терапевтического эффекта при одновременном усилении токсичности [1, 12, 17]. При комбинации периферических a-адреноблокаторов (фентоламин, тропафен, индорамин, празозин) с производными бензодиазепина, ТЦА, ИМАО и алифатическими производными фенотиазина возможно усиление адренолитического эффекта вплоть до развития тяжелой гипотензивной реакции. Одновременно наблюдается усиление рефлекторной тахикардии [1, 12, 14, 15], а также седативного эффекта анксиолитиков [12].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Результаты взаимодействия b-адреноблокаторов и психотропных средств могут носить как терапевтически желательный, так и неблагоприятный характер. В частности, совместное применение неселективных b-адреноблокаторов (пропранолол) и производных бензодиазепина повышает вероятность взаимного усиления угнетающего действия препаратов на ЦНС [1]. Пропранолол и ТЦА могут приводить к дизрегуляции артериального давления (возникновение гипертонических кризов) [1, 14]. Имеются сообщения о высокой вероятности развития желудочковых аритмий при комбинации соталола и ТЦА [12]. Наконец, сочетание b-адреноблокаторов с ИМАО чревато опасностью развития гипертонических кризов [11, 14, 17, 19]. Некоторые СИОЗС (флувоксамин) вызывают значительное повышение концентрации пропранолола в плазме крови, что приводит к дополнительному снижению частоты сердечных сокращений и диастолического артериального давления при физической нагрузке [4,15, 22], а также к развитию полной атриовентрикулярной блокады [23]. Однако перечисленные эффекты не были продемонстрированы у других препаратов рассматриваемой группы антидепрессантов (сертралин, пароксетин, флуоксетин) [2, 7, 15, 24 – 26]. Хлорпромазин и другие фенотиазиновые нейролептики могут потенцировать гипотензивный эффект некоторых b-адреноблокаторов (пропранолол). В свою очередь пропранолол усиливает побочные действия хлорпромазина (седативное, экстрапирамидное и др.) [3, 8, 12, 14, 16, 27].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Вместе с тем некоторые результаты взаимодействия b-адреноблокаторов и психотропных средств расцениваются как терапевтически желательные. Так, рассматриваемые кардиотропные препараты нашли применение в лечении ряда осложнений психофармакотерапии. Например, пропранолол с успехом применяется при лечении тремора, возникшего на фоне приема лития [1, 14, 28, 29]. Имеются сообщения об успешной фармакотерапии рассматриваемых расстройств атенололом и надололом.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При сочетании блокаторов кальциевых каналов (БКК) – дилтиазема и верапамила – с ТЦА (имипрамин) возможны нарушения проводимости сердца [1, 12, 16]. Сочетание нифедипина и ТЦА может приводить к усилению гипотензивного действия БКК [4]. Аналогичное взаимодействие отмечается при совместном применении нейролептиков и БКК [12]. Что касается нормотимиков, то имеются указания на возможность развития нефротоксического эффекта при сочетании БКК с препаратами лития [6]. Дилтиазем и верапамил могут усиливать психотропное действие карбамазепина [12, 18]. При комбинации некоторых других БКК (фелодипин, исрадипин) с карбамазепином гипотензивный эффект первых уменьшается [12].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При комбинации ингибиторов ангиотензинпревращающего фермента (ИАПФ) с транквилизаторами и антидепрессантами и нейролептиками (производные фенотиазина) отмечается усиление гипотензивного эффекта, а также развитие ортостатической гипотензии [12, 16]. Имеются также сообщения о случаях усиления токсических воздействий солей лития при их сочетании с ИАПФ (каптоприл и эналаприл) [4, 6, 30, 31].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ТЦА и СБОЗН уменьшают гипотензивное действие гуанетидина [16, 17, 20]. Сочетание производных гуанетидина с ИМАО может привести к парадоксальному повышению артериального давления, но возможно и его значительное снижение [14, 17]. Гипотензивный эффект производных гуанетидина при сочетанном применении с фенотиазиновыми нейролептиками и производными бутирофенона (галоперидол) снижается [3, 8,14, 16].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Прессорный эффект вводимых парентерально симпатомиметиков прямого действия (адреналин, норадреналин, мезатон) значимо возрастает при их сочетании с ТЦА и СБОЗН. При этом могут возникать сильная головная боль, тахикардия, аритмии сердца, гипертонические кризы [1, 11, 12, 14, 17, 20, 24]. Сочетания адреналина, мезатона, эфедрина с ИМАО противопоказаны из-за опасности развития повышения артериального давления, гипертермии, судорог, летального исхода [1, 3, 12, 14, 17] – т.е. признаков “сырного эффекта”, чреватого летальным исходом. При комбинации адреналина и эфедрина с алифатическими производными фенотиазина (хлопромазин, левомепромазин), а также с бутирофенонами (галоперидол, дроперидол) или тиоксантеном (хлорпротиксен) возможно извращение прессорного действия симпатомиметика с развитием тяжелой гипотензии [1, 3, 12, 14, 16]. Сходный эффект возможен и при сочетании норадреналина с препаратами лития [1].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 xml:space="preserve">Производные бензодиазепина способны потенцировать действие противоаритмических препаратов IV класса (дилтиазема) [8, 32]. Наиболее выражено потенцирование как терапевтических, так и неблагоприятных (проаритмогенное действие) эффектов при взаимодействии ТЦА, некоторых нейролептиков (производные фенотиазина) с антиаритмическими препаратами классов Iа (хинидин, новокаинамид, этмозин), Ib (лидокаин, дифенин), Ic (флекаинид) и III (амиодарон, соталол) [8, 12, 14, 15, 20]. Флуоксетин может потенцировать эффекты флекаинида (класс Ic) [12, 15]. 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При сочетании сердечных гликозидов (дигоксин) и ТЦА возможно снижение насосной функции левого желудочка и возникновение аритмий сердца [33]. При одновременном приеме препаратов наперстянки и некоторых СИОЗС (пароксетин, флуоксетин) возрастает риск неблагоприятных воздействий сердечных гликозидов [11, 15, 25]. Селективный ингибитор нейронального захвата серотонина (СИНЗС)тразодон увеличивает содержание дигоксина в плазме крови [20]. При сочетании сердечных гликозидов с нейролептиками наблюдается снижение кардиотропного эффекта первых, причем одновременно усиливается собственная токсичность производных наперстянки [1, 12]. Совместное применение производных наперстянки и солей лития не рекомендуется из-за опасности возникновения или усугубления нарушений проводимости сердца и повышения эктопической активности миокарда (проаритмогенное действие). При сочетании дигоксина и дигитоксина с карбамазепином происходит уменьшение кардиотропных эффектов препаратов наперстянки [12, 18].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Среди клинически значимых проявлений сочетания антиангинальных средств и психотропных препаратов следует отметить нарастание рефлекторной тахикардии при совместном назначении ТЦА с фармакологическими агентами, воздействующими на гладкие мышцы сосудов (нитраты, нитропруссид натрия и др.) [14, 19], что может привести к снижению антиангинального эффекта последних [15]. Биодоступность нитроглицерина при сублингвальном приеме снижается вследствие возникающей на фоне лечения ТЦА сухости слизистых полости рта [12, 15].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Гель-структурные антациды (альмагель, маалокс) ухудшают всасывание ряда психотропных средств, в частности, бензодиазепиновых транквилизаторов, нейролептиков и некоторых альтернативных нормотимиков (габапентин) [3, 14, 16, 17, 19]. Блокатор Н</w:t>
      </w:r>
      <w:r w:rsidRPr="00AD17B4">
        <w:rPr>
          <w:vertAlign w:val="superscript"/>
        </w:rPr>
        <w:t>2</w:t>
      </w:r>
      <w:r w:rsidRPr="00AD17B4">
        <w:t>-гистаминовых рецепторов циметидин снижает клиренс и увеличивает содержание в крови ряда производных бензодиазепина (диазепам, хлордиазепоксид, мезапам, алпразолам) [12, 14, 16, 19, 34]. Циметидин может замедлять метаболизм ТЦА (амитриптилин, дезипрамин, доксепин, имипрамин, нортриптилин), СБОЗН (мапротилин), обратимых ингибиторов моноаминоксидазы типа (ОИМАО-А – моклобемид), некоторых нейролептиков (хлопромазин, клозапин) и нормотимиков (карбамазепин, габапентин), что приводит к повышению концентрации психотропных средств в плазме крови и развитию их токсических проявлений [11, 12, 15, 16, 18, 20]. Следует также указать на возможность развития агранулоцитоза со смертельным исходом при сочетанном применении хлорпромазина и циметидина [3, 14]. Наконец, при комбинированном назначении блокаторов D</w:t>
      </w:r>
      <w:r w:rsidRPr="00AD17B4">
        <w:rPr>
          <w:vertAlign w:val="superscript"/>
        </w:rPr>
        <w:t>2</w:t>
      </w:r>
      <w:r w:rsidRPr="00AD17B4">
        <w:t>-допаминовых рецепторов (тиаприд) и метоклопрамида (церукал) возможно усиление экстрапирамидных побочных симптомов тиаприда [21].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 xml:space="preserve">Результаты взаимодействия диуретиков и психотропных средств могут носить как терапевтически желательный, так и нежелательный характер, например усиление артериальной гипотонии при совместном применении транквилизаторов и диуретиков [3, 4, 14]. Сочетание тиазидных диуретиков с ТЦА и нейролептиками разных химических групп (флуфеназин-деканоат, галоперидол, тиоридазин) может приводить к развитию синдрома непропорциональной секреции антидиуретического гормона гипофиза (сонливость, головная боль, анорексия, тошнота, рвота, депрессия, потеря сознания) [1, 3]. Совместное применение рассматриваемых мочегонных средств c фенотиазиновыми производными (хлопромазин), ИМАО и ТЦА может также спровоцировать тяжелую гипотензивную реакцию [12, 14, 17, 27]. Указывают также на случаи развития желудочковых аритмий при назначении некоторых нейролептиков (пимозид) на фоне гипокалиемии, вызванной действием тиазидных диуретиков [12]. Калийсберегающий диуретик спиронолактон (верошпирон) снижает психотропную активность производных фенотиазина [27]. На фоне сочетанного применения препаратов лития и мочегонных средств разных групп может развиваться литиевая интоксикация, однако степень риска ее возникновения варьирует. Так, наиболее значительное повышение концентрации лития в крови наблюдается при использовании тиазидных диуретиков [1, 12]. Петлевые диуретики и калийсберегающие препараты вызывают менее выраженную ретенцию лития в организме [35]. Среди других взаимодействий нормотимиков с мочегонными препаратами следует указать на возможность усиления артериальной гипотонии при сочетании диуретиков всех групп с карбамазепином [12]. К терапевтически желательным эффектам взаимодействия диуретиков и психотропных средств традиционно относят редуцирующее воздействие тиазидных диуретиков на литийиндуцированную полиурию [17]. Таким же эффектом обладают и некоторые калийсберегающие диуретики (амилорид) [5, 36]. Другим терапевтически желательным эффектом взаимодействия психотропных и мочегонных средств является редуцирующее влияние осмотических диуретиков (маннитол) и ацетазоламида (диакарб) на литиевую интоксикацию за счет увеличения клиренса лития. Известно, что рассматриваемые диуретики даже применялись в качестве антидотов при отравлении солями лития [6, 12, 17]. 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Некоторые транквилизаторы (мепротан и диазепам) снижают активность антикоагулянтов непрямого действия (варфарин) [14]. Напротив, при сочетании ТЦА и ИМАО с варфарином отмечается увеличение протромбинового индекса [14]. При одновременном приеме непрямых антикоагулянтов (варфарин, никумалон) и СИОЗС (сертралин, флуоксетин) происходит усиление кровоточивости [11, 12, 16, 22]. Совместное применение непрямых антикоагулянтов и производных фенотиазина может привести к усилению противосвертывающего эффекта (гипопротромбинемия, снижению коагуляционных свойств крови) [1]. Галоперидол и некоторые нормотимики (карбамазепин), напротив, способствуют инактивации непрямых антикоагулянтов [17, 18]. Наконец, сообщается об уменьшении антикоагулянтного эффекта никумалона, дикумарола и варфарина при их комбинации с карбамазепином [12, 18].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Токсичность нестероидных противовоспалительных средств (НПВС) увеличивается при их комбинации с ТЦА [14]. С другой стороны, есть указания на то, что ТЦА могут снижать всасывание в кишечнике некоторых НПВС (в частности, фенилбутазона) [17]. На фоне приема кортикостероидов, а также некоторых НПВС (аспирин) отмечено повышение уровня плазменной концентрации ТЦА [13, 17]. Производные ацетаминофена (парацетамол) могут замедлять метаболизм нейролептиков фенотиазинового ряда и увеличивать содержание последних в плазме крови [17]. НПВС (индометацин, пироксикам, фенилбутазон, диклофенак) повышают концентрацию солей лития в крови вплоть до развития литиевой интоксикации [6, 14, 37 – 39]. При сочетании некоторых глюкокортикоидов (кортизон) с карбамазепином содержание в плазме крови таких гормональных препаратов снижается [18].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 xml:space="preserve">При сочетании антидиабетических препаратов с производными бензодиазепина наблюдается усиление гипогликемического эффекта [14]. ИМАО могут потенцировать индуцированную инсулином гипогликемию, усиливать эффект глибенкламида и других сахароснижающих препаратов [1, 14, 16, 17, 40]. Аналогичным образом необходима осторожность при совместном назначении пероральных сахароснижающих средств и некоторых СИОЗС (сертралин) [22]. С другой стороны, не отмечено клинически значимого воздействия других СИОЗС (флуоксетин) на фармакокинетику некоторых антидиабетических препаратов (толбутамид) [25]. Совместный прием тиреоидина и имипрамина может спровоцировать пароксизмальную предсердную тахикардию [11, 14, 24]. Такой же эффект отмечен при сочетании гормонов щитовидной железы и СБОЗН (мапротилин) [11]. Следует также иметь в виду, что при взаимодействии с ТЦА медикаментов, используемых для лечения гипертиреоза (мерказолил, радиоактивный йод), увеличивается риск агранулоцитоза [11]. Нейролептики (производные фенотиазина), по данным некоторых авторов, ослабляют активность ряда гипогликемизирующих медикаментов (в частности, инсулина и производных сульфонилмочевины) [1, 12, 14, 17]. 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 xml:space="preserve">Макролиды (эритромицин) нарушают метаболизм бензодиазепинов (алпразолам) in vitro и мидазолама [12, 16, 34] in vivo, что приводит к повышению концентрации указанных препаратов в плазме крови. Сходным образом изониазид угнетает метаболизм диазепама [12]. Рифампицин, напротив, увеличивает метаболизм диазепама и, возможно, других бензодиазепинов [12]. Аналогичный эффект наблюдается при совместном применении хлорамфеникола (левомицетин) и некоторых метаболизируемых гепатоцитами антидепрессантов (ТЦА) [13]. Показано, что концентрация атипичного антипсихотика клозапина в сыворотке крови может резко увеличиваться (вплоть до развития токсических проявлений) под действием антибиотиков из группы макролидов [41]. Прямо противоположный эффект отмечается при сочетании рифампицина и галоперидола [12]. Описаны отдельные случаи поражения почечных канальцев при сочетании солей лития с тетрациклинами [14]. Другой нормотимик – карбамазепин уменьшает антимикробное действие доксициклина [18]. </w:t>
      </w:r>
      <w:r>
        <w:t xml:space="preserve"> </w:t>
      </w:r>
    </w:p>
    <w:p w:rsidR="00AC0E41" w:rsidRPr="00AD17B4" w:rsidRDefault="00AC0E41" w:rsidP="00AC0E41">
      <w:pPr>
        <w:spacing w:before="120"/>
        <w:ind w:firstLine="567"/>
        <w:jc w:val="both"/>
      </w:pPr>
      <w:r w:rsidRPr="00AD17B4">
        <w:t>Завершая обзор литературы, необходимо указать на два ограничения, связанные с использованием содержащихся в нем данных. Первое из них обусловлено тем, что рассмотренные эффекты взаимодействия соматотропных и психотропных лекарственных средств могут существенно изменяться при определенных соотношениях доз. При этом между препаратами могут возникать и иные, не рассмотренные в этой работе взаимные влияния. Второе ограничение связано с тем, что представленные данные касаются прежде всего вариантов интеракции двух препаратов. Тогда как при совместном назначении трех и более лекарственных средств конечный эффект такой медикаментозной комбинации может существенным образом отличаться от указанного.</w:t>
      </w:r>
    </w:p>
    <w:p w:rsidR="00AC0E41" w:rsidRPr="0064386A" w:rsidRDefault="00AC0E41" w:rsidP="00AC0E41">
      <w:pPr>
        <w:spacing w:before="120"/>
        <w:jc w:val="center"/>
        <w:rPr>
          <w:b/>
          <w:bCs/>
          <w:sz w:val="28"/>
          <w:szCs w:val="28"/>
        </w:rPr>
      </w:pPr>
      <w:r w:rsidRPr="0064386A">
        <w:rPr>
          <w:b/>
          <w:bCs/>
          <w:sz w:val="28"/>
          <w:szCs w:val="28"/>
        </w:rPr>
        <w:t>Список литературы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1. Балткайс Я.Я., Фатеев В.А. Взаимодействие лекарственных веществ. – М., 1991.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 xml:space="preserve">2. Мосолов С.Н. Клиническое применение современных антидепрессантов. – СПб., 1995. 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3. Райский В.А. Психотропные средства в клинике внутренних болезней. – М., 1988.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4. Справочник Видаль. Лекарственные препараты в России. – М., 1997.</w:t>
      </w:r>
      <w:r>
        <w:t xml:space="preserve">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5. Boton R, Gaviria M, Batlle DC. Am J Kidney Dis 1987;10:329–45.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6. Finley PR, Warner MD, Peabody CA. Clin Pharmacokinet 1995;29:172–91. </w:t>
      </w:r>
    </w:p>
    <w:p w:rsidR="00AC0E41" w:rsidRDefault="00AC0E41" w:rsidP="00AC0E41">
      <w:pPr>
        <w:spacing w:before="120"/>
        <w:ind w:firstLine="567"/>
        <w:jc w:val="both"/>
      </w:pPr>
      <w:r w:rsidRPr="00F06774">
        <w:rPr>
          <w:lang w:val="en-US"/>
        </w:rPr>
        <w:t xml:space="preserve">7. Fisch C, Knoebel SB. </w:t>
      </w:r>
      <w:r w:rsidRPr="00AD17B4">
        <w:t>Drug Investigation 1992;4:305–12.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8. Дроздов Д.В., Аллилуев И.Г., Полтавская М.Г. // Психические расстройства и сердечно-сосудистая патология / Под ред. А.Б.Смулевича, А.Л.Сыркина. – М., 1994. – С. 101–113.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9. Сыркин А.Л. Инфаркт миокарда. – М., 1991.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10. Шубина Т.И., Зайцев В.П. // Клин медицина – 1989. – №5. – С. 36–38.</w:t>
      </w:r>
      <w:r>
        <w:t xml:space="preserve">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AD17B4">
        <w:t>11. Информация о лекарственных средствах для специалистов здравоохранения. Выпуск 1: Лекарственные средства, действующие на центральную нервную систему / Под ред. М</w:t>
      </w:r>
      <w:r w:rsidRPr="00F06774">
        <w:rPr>
          <w:lang w:val="en-US"/>
        </w:rPr>
        <w:t>.</w:t>
      </w:r>
      <w:r w:rsidRPr="00AD17B4">
        <w:t>Д</w:t>
      </w:r>
      <w:r w:rsidRPr="00F06774">
        <w:rPr>
          <w:lang w:val="en-US"/>
        </w:rPr>
        <w:t xml:space="preserve">. </w:t>
      </w:r>
      <w:r w:rsidRPr="00AD17B4">
        <w:t>Машковского</w:t>
      </w:r>
      <w:r w:rsidRPr="00F06774">
        <w:rPr>
          <w:lang w:val="en-US"/>
        </w:rPr>
        <w:t xml:space="preserve"> – </w:t>
      </w:r>
      <w:r w:rsidRPr="00AD17B4">
        <w:t>М</w:t>
      </w:r>
      <w:r w:rsidRPr="00F06774">
        <w:rPr>
          <w:lang w:val="en-US"/>
        </w:rPr>
        <w:t xml:space="preserve">., 1996.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12. British National Formulary №31. British medical association and Royal pharmaceutical society of Great Britain. 1996.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13. Clark WG, del Giudice J. Principles of psychopharmacology. 1978.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14. </w:t>
      </w:r>
      <w:r w:rsidRPr="00AD17B4">
        <w:t>Спивак</w:t>
      </w:r>
      <w:r w:rsidRPr="00F06774">
        <w:rPr>
          <w:lang w:val="en-US"/>
        </w:rPr>
        <w:t xml:space="preserve"> </w:t>
      </w:r>
      <w:r w:rsidRPr="00AD17B4">
        <w:t>Л</w:t>
      </w:r>
      <w:r w:rsidRPr="00F06774">
        <w:rPr>
          <w:lang w:val="en-US"/>
        </w:rPr>
        <w:t>.</w:t>
      </w:r>
      <w:r w:rsidRPr="00AD17B4">
        <w:t>И</w:t>
      </w:r>
      <w:r w:rsidRPr="00F06774">
        <w:rPr>
          <w:lang w:val="en-US"/>
        </w:rPr>
        <w:t xml:space="preserve">., </w:t>
      </w:r>
      <w:r w:rsidRPr="00AD17B4">
        <w:t>Райский</w:t>
      </w:r>
      <w:r w:rsidRPr="00F06774">
        <w:rPr>
          <w:lang w:val="en-US"/>
        </w:rPr>
        <w:t xml:space="preserve"> </w:t>
      </w:r>
      <w:r w:rsidRPr="00AD17B4">
        <w:t>В</w:t>
      </w:r>
      <w:r w:rsidRPr="00F06774">
        <w:rPr>
          <w:lang w:val="en-US"/>
        </w:rPr>
        <w:t>.</w:t>
      </w:r>
      <w:r w:rsidRPr="00AD17B4">
        <w:t>А</w:t>
      </w:r>
      <w:r w:rsidRPr="00F06774">
        <w:rPr>
          <w:lang w:val="en-US"/>
        </w:rPr>
        <w:t xml:space="preserve">., </w:t>
      </w:r>
      <w:r w:rsidRPr="00AD17B4">
        <w:t>Виленский</w:t>
      </w:r>
      <w:r w:rsidRPr="00F06774">
        <w:rPr>
          <w:lang w:val="en-US"/>
        </w:rPr>
        <w:t xml:space="preserve"> </w:t>
      </w:r>
      <w:r w:rsidRPr="00AD17B4">
        <w:t>Б</w:t>
      </w:r>
      <w:r w:rsidRPr="00F06774">
        <w:rPr>
          <w:lang w:val="en-US"/>
        </w:rPr>
        <w:t>.</w:t>
      </w:r>
      <w:r w:rsidRPr="00AD17B4">
        <w:t>С</w:t>
      </w:r>
      <w:r w:rsidRPr="00F06774">
        <w:rPr>
          <w:lang w:val="en-US"/>
        </w:rPr>
        <w:t xml:space="preserve">. </w:t>
      </w:r>
      <w:r w:rsidRPr="00AD17B4">
        <w:t>Осложнения</w:t>
      </w:r>
      <w:r w:rsidRPr="00F06774">
        <w:rPr>
          <w:lang w:val="en-US"/>
        </w:rPr>
        <w:t xml:space="preserve"> </w:t>
      </w:r>
      <w:r w:rsidRPr="00AD17B4">
        <w:t>психофармакологической</w:t>
      </w:r>
      <w:r w:rsidRPr="00F06774">
        <w:rPr>
          <w:lang w:val="en-US"/>
        </w:rPr>
        <w:t xml:space="preserve"> </w:t>
      </w:r>
      <w:r w:rsidRPr="00AD17B4">
        <w:t>терапии</w:t>
      </w:r>
      <w:r w:rsidRPr="00F06774">
        <w:rPr>
          <w:lang w:val="en-US"/>
        </w:rPr>
        <w:t xml:space="preserve">. – </w:t>
      </w:r>
      <w:r w:rsidRPr="00AD17B4">
        <w:t>Л</w:t>
      </w:r>
      <w:r w:rsidRPr="00F06774">
        <w:rPr>
          <w:lang w:val="en-US"/>
        </w:rPr>
        <w:t xml:space="preserve">., 1988.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15. Lane RM, Sweeney M, Henry JA. Brit J Clin Pract 1994;48:257–62.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16. Schatzber AF, DeBattista Ch, Ereshefsky L, et al. Primary psychiatry 1997;4(7):35–60.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17. Ban TA. Psychopharmacology for the aged. 1980.  </w:t>
      </w:r>
    </w:p>
    <w:p w:rsidR="00AC0E41" w:rsidRDefault="00AC0E41" w:rsidP="00AC0E41">
      <w:pPr>
        <w:spacing w:before="120"/>
        <w:ind w:firstLine="567"/>
        <w:jc w:val="both"/>
      </w:pPr>
      <w:r w:rsidRPr="00F06774">
        <w:rPr>
          <w:lang w:val="en-US"/>
        </w:rPr>
        <w:t xml:space="preserve">18. Greil W, Sassim N, Strubel-Sassim C. Manic- depressive illness: therapy with carbamazepine. </w:t>
      </w:r>
      <w:r w:rsidRPr="00AD17B4">
        <w:t>1996;68–79.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19. Райский В.А., Авруцкий Г.Я. // Тер архив – 1986. – N.10. – С. 51–55.</w:t>
      </w:r>
      <w:r>
        <w:t xml:space="preserve">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20. Nemeroff CB. J Clin Psychiatry 1994;55: [Suppl 12]:3–15.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21. Peters DH, Faulds D. Drugs 1994;47:1010–32.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22. Warringtone SJ. Int Clin Psychopharmacol 1991;6[Suppl 2]:11–21.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23. Drake WM, Gordon GD. Lancet 1994;343:425–6.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24. Смулевич А.Б., Дробижев М.Ю. // Русский медицинский журнал. – 1996. – № 1. – С. 4–10.</w:t>
      </w:r>
      <w:r>
        <w:t xml:space="preserve">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25. Стоукс П.Е. // Социальная и клиническая психиатрия. – 1995. – № 2. – С. 124–144.</w:t>
      </w:r>
      <w:r>
        <w:t xml:space="preserve">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26. Ziegler MG, Wilner KD. J Clin Psychiatry 1996;57[Suppl 1]:12–15. 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27. Клиническая фармакология / Под ред. В.Г. Кукеса – М., 1991.</w:t>
      </w:r>
      <w:r>
        <w:t xml:space="preserve">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28. Dav M. Can J Psychiatry – 1989;34:132-3.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29. Dav M, Langbart MM. Ann Clin Psychiatry 1994;6:51–2.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30. Mignat C, Unger T. Drug Saf 1995;12:334–47.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31. Shionoiri H. Clin Pharmacokinet 1993;25:20–58.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32. </w:t>
      </w:r>
      <w:r w:rsidRPr="00AD17B4">
        <w:t>Дроздов</w:t>
      </w:r>
      <w:r w:rsidRPr="00F06774">
        <w:rPr>
          <w:lang w:val="en-US"/>
        </w:rPr>
        <w:t xml:space="preserve"> </w:t>
      </w:r>
      <w:r w:rsidRPr="00AD17B4">
        <w:t>Д</w:t>
      </w:r>
      <w:r w:rsidRPr="00F06774">
        <w:rPr>
          <w:lang w:val="en-US"/>
        </w:rPr>
        <w:t>.</w:t>
      </w:r>
      <w:r w:rsidRPr="00AD17B4">
        <w:t>В</w:t>
      </w:r>
      <w:r w:rsidRPr="00F06774">
        <w:rPr>
          <w:lang w:val="en-US"/>
        </w:rPr>
        <w:t xml:space="preserve">., </w:t>
      </w:r>
      <w:r w:rsidRPr="00AD17B4">
        <w:t>Новикова</w:t>
      </w:r>
      <w:r w:rsidRPr="00F06774">
        <w:rPr>
          <w:lang w:val="en-US"/>
        </w:rPr>
        <w:t xml:space="preserve"> </w:t>
      </w:r>
      <w:r w:rsidRPr="00AD17B4">
        <w:t>Н</w:t>
      </w:r>
      <w:r w:rsidRPr="00F06774">
        <w:rPr>
          <w:lang w:val="en-US"/>
        </w:rPr>
        <w:t>.</w:t>
      </w:r>
      <w:r w:rsidRPr="00AD17B4">
        <w:t>А</w:t>
      </w:r>
      <w:r w:rsidRPr="00F06774">
        <w:rPr>
          <w:lang w:val="en-US"/>
        </w:rPr>
        <w:t xml:space="preserve">. // </w:t>
      </w:r>
      <w:r w:rsidRPr="00AD17B4">
        <w:t>Ипохондрия</w:t>
      </w:r>
      <w:r w:rsidRPr="00F06774">
        <w:rPr>
          <w:lang w:val="en-US"/>
        </w:rPr>
        <w:t xml:space="preserve"> </w:t>
      </w:r>
      <w:r w:rsidRPr="00AD17B4">
        <w:t>и</w:t>
      </w:r>
      <w:r w:rsidRPr="00F06774">
        <w:rPr>
          <w:lang w:val="en-US"/>
        </w:rPr>
        <w:t xml:space="preserve"> </w:t>
      </w:r>
      <w:r w:rsidRPr="00AD17B4">
        <w:t>соматоформные</w:t>
      </w:r>
      <w:r w:rsidRPr="00F06774">
        <w:rPr>
          <w:lang w:val="en-US"/>
        </w:rPr>
        <w:t xml:space="preserve"> </w:t>
      </w:r>
      <w:r w:rsidRPr="00AD17B4">
        <w:t>расстройства</w:t>
      </w:r>
      <w:r w:rsidRPr="00F06774">
        <w:rPr>
          <w:lang w:val="en-US"/>
        </w:rPr>
        <w:t xml:space="preserve"> / </w:t>
      </w:r>
      <w:r w:rsidRPr="00AD17B4">
        <w:t>Под</w:t>
      </w:r>
      <w:r w:rsidRPr="00F06774">
        <w:rPr>
          <w:lang w:val="en-US"/>
        </w:rPr>
        <w:t xml:space="preserve"> </w:t>
      </w:r>
      <w:r w:rsidRPr="00AD17B4">
        <w:t>ред</w:t>
      </w:r>
      <w:r w:rsidRPr="00F06774">
        <w:rPr>
          <w:lang w:val="en-US"/>
        </w:rPr>
        <w:t xml:space="preserve">. </w:t>
      </w:r>
      <w:r w:rsidRPr="00AD17B4">
        <w:t>А</w:t>
      </w:r>
      <w:r w:rsidRPr="00F06774">
        <w:rPr>
          <w:lang w:val="en-US"/>
        </w:rPr>
        <w:t>.</w:t>
      </w:r>
      <w:r w:rsidRPr="00AD17B4">
        <w:t>Б</w:t>
      </w:r>
      <w:r w:rsidRPr="00F06774">
        <w:rPr>
          <w:lang w:val="en-US"/>
        </w:rPr>
        <w:t>.</w:t>
      </w:r>
      <w:r w:rsidRPr="00AD17B4">
        <w:t>Смулевича</w:t>
      </w:r>
      <w:r w:rsidRPr="00F06774">
        <w:rPr>
          <w:lang w:val="en-US"/>
        </w:rPr>
        <w:t xml:space="preserve">. – </w:t>
      </w:r>
      <w:r w:rsidRPr="00AD17B4">
        <w:t>М</w:t>
      </w:r>
      <w:r w:rsidRPr="00F06774">
        <w:rPr>
          <w:lang w:val="en-US"/>
        </w:rPr>
        <w:t xml:space="preserve">., 1992. – </w:t>
      </w:r>
      <w:r w:rsidRPr="00AD17B4">
        <w:t>С</w:t>
      </w:r>
      <w:r w:rsidRPr="00F06774">
        <w:rPr>
          <w:lang w:val="en-US"/>
        </w:rPr>
        <w:t xml:space="preserve">. 136–147.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33. Prescorn SH. J Clin Psychiatry 1996;57[Suppl 1]:3–6.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34. Greenblatt DJ, Moltke LL von Harmatz JS, et al. J Clin Psychiat 1993;54[Suppl]:4–11.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35. Crabtree BL, Mack JE, Johnson CD, et al. Am J Psychiatry 1991;148:1060–3.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36. Kosten TR, Forrest JN. Am J Psychiatry 1986;143:1563–8.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37. Furst DE. J Rheumatol Suppl 1988;17(10):58–62.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38. Johnson AG, Seideman P, Day RO. Drug Saf 1993;8:99–127.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39. Weinblatt ME. Scand J Rheumatol 1989;83 [Suppl]:7–10. </w:t>
      </w:r>
    </w:p>
    <w:p w:rsidR="00AC0E41" w:rsidRPr="00F06774" w:rsidRDefault="00AC0E41" w:rsidP="00AC0E41">
      <w:pPr>
        <w:spacing w:before="120"/>
        <w:ind w:firstLine="567"/>
        <w:jc w:val="both"/>
        <w:rPr>
          <w:lang w:val="en-US"/>
        </w:rPr>
      </w:pPr>
      <w:r w:rsidRPr="00F06774">
        <w:rPr>
          <w:lang w:val="en-US"/>
        </w:rPr>
        <w:t xml:space="preserve">40. Garland EJ, Remick RA, Zis AP. J Clin Psychopharmacol 1988;8:323–30. </w:t>
      </w:r>
    </w:p>
    <w:p w:rsidR="00AC0E41" w:rsidRPr="00AD17B4" w:rsidRDefault="00AC0E41" w:rsidP="00AC0E41">
      <w:pPr>
        <w:spacing w:before="120"/>
        <w:ind w:firstLine="567"/>
        <w:jc w:val="both"/>
      </w:pPr>
      <w:r w:rsidRPr="00F06774">
        <w:rPr>
          <w:lang w:val="en-US"/>
        </w:rPr>
        <w:t xml:space="preserve">41. Cohen LG, Chesley S, Eugenio L, et al. </w:t>
      </w:r>
      <w:r w:rsidRPr="00AD17B4">
        <w:t>Arch Intern Med 1996;156:675–7.</w:t>
      </w:r>
    </w:p>
    <w:p w:rsidR="00AC0E41" w:rsidRPr="00AD17B4" w:rsidRDefault="00AC0E41" w:rsidP="00AC0E41">
      <w:pPr>
        <w:spacing w:before="120"/>
        <w:ind w:firstLine="567"/>
        <w:jc w:val="both"/>
      </w:pPr>
      <w:r w:rsidRPr="00AD17B4">
        <w:t>1</w:t>
      </w:r>
      <w:r>
        <w:t xml:space="preserve"> </w:t>
      </w:r>
      <w:r w:rsidRPr="00AD17B4">
        <w:t>Cоматотропные препараты, использующиеся в клинике внутренних болезней, обладают, как правило, ограниченным спектром воздействий на функции ЦНС [15].</w:t>
      </w:r>
    </w:p>
    <w:p w:rsidR="00AC0E41" w:rsidRPr="00AD17B4" w:rsidRDefault="00AC0E41" w:rsidP="00AC0E41">
      <w:pPr>
        <w:spacing w:before="120"/>
        <w:ind w:firstLine="567"/>
        <w:jc w:val="both"/>
      </w:pPr>
      <w:r w:rsidRPr="00AD17B4">
        <w:t>2</w:t>
      </w:r>
      <w:r>
        <w:t xml:space="preserve"> </w:t>
      </w:r>
      <w:r w:rsidRPr="00AD17B4">
        <w:t>Для удобства изложения сведения цитированных источников сгруппированы в разделы, в каждом из которых представлена информация о взаимодействии психотропных средств с препаратами, использующимися при лечении патологии одной из систем организма (дыхательной, сердечно-сосудистой, пищеварительной, мочевыделительной, кроветворной, свертывающей, суставной). Помимо этого, в связи с высокой распространенностью эндокринно-обменных расстройств и воспалительных заболеваний бактериальной этиологии в клинике внутренних болезней, в обзор включены разделы, посвященные интеракции психотропных медикаментов с гиполипидемическими агентами и антибиотиками.</w:t>
      </w:r>
    </w:p>
    <w:p w:rsidR="00AC0E41" w:rsidRDefault="00AC0E41" w:rsidP="00AC0E41">
      <w:pPr>
        <w:spacing w:before="120"/>
        <w:ind w:firstLine="567"/>
        <w:jc w:val="both"/>
      </w:pPr>
      <w:r w:rsidRPr="00AD17B4">
        <w:t>3 Впервые такое побочное действие было отмечено при одновременном применении ИМАО с пищевыми продуктами, содержащими тирамин или его предшественник тирозин (сыры, копчености и др.), отчего и происходит его определение – “сырный эффект” . Основным механизмом данного взаимодействия является снижение скорости инактивации симпатомиметических соединений моноаминоксидазой, что приводит к накоплению избыточных количеств симпатомиметиков в синапсе, усилению стимуляции постсинаптических адренорецепторов и в результате – к выраженным гипертензивному и сосудосуживающему действиям [3, 14].</w:t>
      </w:r>
    </w:p>
    <w:p w:rsidR="00AC0E41" w:rsidRPr="00AD17B4" w:rsidRDefault="00AC0E41" w:rsidP="00AC0E41">
      <w:pPr>
        <w:spacing w:before="120"/>
        <w:ind w:firstLine="567"/>
        <w:jc w:val="both"/>
      </w:pP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E41"/>
    <w:rsid w:val="0009131E"/>
    <w:rsid w:val="001776F2"/>
    <w:rsid w:val="001821ED"/>
    <w:rsid w:val="002B459B"/>
    <w:rsid w:val="004B1473"/>
    <w:rsid w:val="005064A4"/>
    <w:rsid w:val="005F369E"/>
    <w:rsid w:val="0064386A"/>
    <w:rsid w:val="00820540"/>
    <w:rsid w:val="00AC0E41"/>
    <w:rsid w:val="00AD17B4"/>
    <w:rsid w:val="00AF5F9F"/>
    <w:rsid w:val="00F06774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8FDC92-1902-438B-AE49-1A6B39FF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4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0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mj.ru/sovpsih/t1/n2/3.htm" TargetMode="External"/><Relationship Id="rId5" Type="http://schemas.openxmlformats.org/officeDocument/2006/relationships/hyperlink" Target="http://www.rmj.ru/sovpsih/t1/n2/3.htm" TargetMode="External"/><Relationship Id="rId4" Type="http://schemas.openxmlformats.org/officeDocument/2006/relationships/hyperlink" Target="http://www.rmj.ru/sovpsih/t1/n2/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15339</Words>
  <Characters>8744</Characters>
  <Application>Microsoft Office Word</Application>
  <DocSecurity>0</DocSecurity>
  <Lines>72</Lines>
  <Paragraphs>48</Paragraphs>
  <ScaleCrop>false</ScaleCrop>
  <Company>Home</Company>
  <LinksUpToDate>false</LinksUpToDate>
  <CharactersWithSpaces>24035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средств, применяемых для лечения соматических заболеваний, и психотропных препаратов </dc:title>
  <dc:subject/>
  <dc:creator>User</dc:creator>
  <cp:keywords/>
  <dc:description/>
  <cp:lastModifiedBy>admin</cp:lastModifiedBy>
  <cp:revision>2</cp:revision>
  <dcterms:created xsi:type="dcterms:W3CDTF">2014-01-25T14:50:00Z</dcterms:created>
  <dcterms:modified xsi:type="dcterms:W3CDTF">2014-01-25T14:50:00Z</dcterms:modified>
</cp:coreProperties>
</file>