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33" w:rsidRDefault="00045733">
      <w:pPr>
        <w:pStyle w:val="1"/>
        <w:jc w:val="center"/>
        <w:rPr>
          <w:rFonts w:ascii="Times New Roman" w:hAnsi="Times New Roman" w:cs="Times New Roman"/>
          <w:color w:val="000000"/>
          <w:sz w:val="27"/>
          <w:szCs w:val="27"/>
        </w:rPr>
      </w:pPr>
      <w:r>
        <w:rPr>
          <w:rFonts w:ascii="Times New Roman" w:hAnsi="Times New Roman" w:cs="Times New Roman"/>
          <w:color w:val="000000"/>
          <w:sz w:val="27"/>
          <w:szCs w:val="27"/>
        </w:rPr>
        <w:t>Социально - гуманитарный  институт</w:t>
      </w:r>
    </w:p>
    <w:p w:rsidR="00045733" w:rsidRDefault="00045733">
      <w:pPr>
        <w:pStyle w:val="1"/>
        <w:jc w:val="center"/>
        <w:rPr>
          <w:rFonts w:ascii="Times New Roman" w:hAnsi="Times New Roman" w:cs="Times New Roman"/>
          <w:color w:val="000000"/>
          <w:sz w:val="23"/>
          <w:szCs w:val="23"/>
        </w:rPr>
      </w:pPr>
      <w:r>
        <w:rPr>
          <w:rFonts w:ascii="Times New Roman" w:hAnsi="Times New Roman" w:cs="Times New Roman"/>
          <w:color w:val="000000"/>
          <w:sz w:val="23"/>
          <w:szCs w:val="23"/>
        </w:rPr>
        <w:t>Факультет правоведения</w:t>
      </w:r>
    </w:p>
    <w:p w:rsidR="00045733" w:rsidRDefault="00045733">
      <w:pPr>
        <w:pStyle w:val="1"/>
        <w:jc w:val="center"/>
        <w:rPr>
          <w:rFonts w:ascii="Times New Roman" w:hAnsi="Times New Roman" w:cs="Times New Roman"/>
          <w:color w:val="000000"/>
          <w:sz w:val="23"/>
          <w:szCs w:val="23"/>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a3"/>
        <w:rPr>
          <w:color w:val="000000"/>
          <w:sz w:val="23"/>
          <w:szCs w:val="23"/>
          <w:lang w:val="ru-RU"/>
        </w:rPr>
      </w:pPr>
    </w:p>
    <w:p w:rsidR="00045733" w:rsidRDefault="00045733">
      <w:pPr>
        <w:pStyle w:val="1"/>
        <w:jc w:val="center"/>
        <w:rPr>
          <w:rFonts w:ascii="Times New Roman" w:hAnsi="Times New Roman" w:cs="Times New Roman"/>
          <w:color w:val="000000"/>
          <w:sz w:val="27"/>
          <w:szCs w:val="27"/>
        </w:rPr>
      </w:pPr>
      <w:r>
        <w:rPr>
          <w:rFonts w:ascii="Times New Roman" w:hAnsi="Times New Roman" w:cs="Times New Roman"/>
          <w:color w:val="000000"/>
          <w:sz w:val="27"/>
          <w:szCs w:val="27"/>
        </w:rPr>
        <w:t>Майя Йоутси</w:t>
      </w:r>
    </w:p>
    <w:p w:rsidR="00045733" w:rsidRDefault="00045733">
      <w:pPr>
        <w:pStyle w:val="1"/>
        <w:jc w:val="center"/>
        <w:rPr>
          <w:rFonts w:ascii="Times New Roman" w:hAnsi="Times New Roman" w:cs="Times New Roman"/>
          <w:color w:val="000000"/>
          <w:sz w:val="23"/>
          <w:szCs w:val="23"/>
        </w:rPr>
      </w:pPr>
    </w:p>
    <w:p w:rsidR="00045733" w:rsidRDefault="00045733">
      <w:pPr>
        <w:pStyle w:val="1"/>
        <w:jc w:val="center"/>
        <w:rPr>
          <w:rFonts w:ascii="Times New Roman" w:hAnsi="Times New Roman" w:cs="Times New Roman"/>
          <w:caps/>
          <w:color w:val="000000"/>
          <w:sz w:val="23"/>
          <w:szCs w:val="23"/>
        </w:rPr>
      </w:pPr>
      <w:r>
        <w:rPr>
          <w:rFonts w:ascii="Times New Roman" w:hAnsi="Times New Roman" w:cs="Times New Roman"/>
          <w:caps/>
          <w:color w:val="000000"/>
          <w:sz w:val="23"/>
          <w:szCs w:val="23"/>
        </w:rPr>
        <w:t>реферат</w:t>
      </w:r>
    </w:p>
    <w:p w:rsidR="00045733" w:rsidRDefault="00045733">
      <w:pPr>
        <w:pStyle w:val="1"/>
        <w:jc w:val="center"/>
        <w:rPr>
          <w:rFonts w:ascii="Times New Roman" w:hAnsi="Times New Roman" w:cs="Times New Roman"/>
          <w:color w:val="000000"/>
          <w:sz w:val="23"/>
          <w:szCs w:val="23"/>
        </w:rPr>
      </w:pPr>
      <w:r>
        <w:rPr>
          <w:rFonts w:ascii="Times New Roman" w:hAnsi="Times New Roman" w:cs="Times New Roman"/>
          <w:color w:val="000000"/>
          <w:sz w:val="23"/>
          <w:szCs w:val="23"/>
        </w:rPr>
        <w:t>по предмету «Основы розыскной деятельности»</w:t>
      </w:r>
    </w:p>
    <w:p w:rsidR="00045733" w:rsidRDefault="00045733">
      <w:pPr>
        <w:spacing w:before="0" w:after="0"/>
        <w:jc w:val="center"/>
        <w:rPr>
          <w:b/>
          <w:bCs/>
          <w:color w:val="000000"/>
          <w:sz w:val="23"/>
          <w:szCs w:val="23"/>
        </w:rPr>
      </w:pPr>
      <w:r>
        <w:rPr>
          <w:b/>
          <w:bCs/>
          <w:color w:val="000000"/>
          <w:sz w:val="23"/>
          <w:szCs w:val="23"/>
        </w:rPr>
        <w:t>на тему: «Взаимосвязь следственной и оперативно-розыскной деятельности»</w:t>
      </w:r>
    </w:p>
    <w:p w:rsidR="00045733" w:rsidRDefault="00045733">
      <w:pPr>
        <w:spacing w:line="360" w:lineRule="auto"/>
        <w:jc w:val="center"/>
        <w:rPr>
          <w:b/>
          <w:bCs/>
          <w:color w:val="000000"/>
          <w:sz w:val="23"/>
          <w:szCs w:val="23"/>
        </w:rPr>
      </w:pPr>
      <w:r>
        <w:rPr>
          <w:b/>
          <w:bCs/>
          <w:color w:val="000000"/>
          <w:sz w:val="23"/>
          <w:szCs w:val="23"/>
        </w:rPr>
        <w:t>четвёртый курс</w:t>
      </w:r>
    </w:p>
    <w:p w:rsidR="00045733" w:rsidRDefault="00045733">
      <w:pPr>
        <w:spacing w:line="360" w:lineRule="auto"/>
        <w:jc w:val="center"/>
        <w:rPr>
          <w:b/>
          <w:bCs/>
          <w:color w:val="000000"/>
          <w:sz w:val="23"/>
          <w:szCs w:val="23"/>
        </w:rPr>
      </w:pPr>
    </w:p>
    <w:p w:rsidR="00045733" w:rsidRDefault="00045733">
      <w:pPr>
        <w:pStyle w:val="1"/>
        <w:jc w:val="center"/>
        <w:rPr>
          <w:rFonts w:ascii="Times New Roman" w:hAnsi="Times New Roman" w:cs="Times New Roman"/>
          <w:color w:val="000000"/>
          <w:sz w:val="23"/>
          <w:szCs w:val="23"/>
        </w:rPr>
      </w:pPr>
    </w:p>
    <w:p w:rsidR="00045733" w:rsidRDefault="00045733">
      <w:pPr>
        <w:spacing w:before="0" w:after="0" w:line="360" w:lineRule="auto"/>
        <w:jc w:val="center"/>
        <w:rPr>
          <w:b/>
          <w:bCs/>
          <w:color w:val="000000"/>
          <w:sz w:val="23"/>
          <w:szCs w:val="23"/>
        </w:rPr>
      </w:pPr>
    </w:p>
    <w:p w:rsidR="00045733" w:rsidRDefault="00045733">
      <w:pPr>
        <w:pStyle w:val="1"/>
        <w:jc w:val="center"/>
        <w:rPr>
          <w:rFonts w:ascii="Times New Roman" w:hAnsi="Times New Roman" w:cs="Times New Roman"/>
          <w:color w:val="000000"/>
          <w:sz w:val="23"/>
          <w:szCs w:val="23"/>
        </w:rPr>
      </w:pPr>
    </w:p>
    <w:p w:rsidR="00045733" w:rsidRDefault="00045733">
      <w:pPr>
        <w:spacing w:before="0" w:after="0" w:line="360" w:lineRule="auto"/>
        <w:jc w:val="right"/>
        <w:rPr>
          <w:b/>
          <w:bCs/>
          <w:color w:val="000000"/>
          <w:sz w:val="19"/>
          <w:szCs w:val="19"/>
        </w:rPr>
      </w:pPr>
      <w:r>
        <w:rPr>
          <w:b/>
          <w:bCs/>
          <w:color w:val="000000"/>
          <w:sz w:val="19"/>
          <w:szCs w:val="19"/>
        </w:rPr>
        <w:t>преподаватель:</w:t>
      </w:r>
    </w:p>
    <w:p w:rsidR="00045733" w:rsidRDefault="00045733">
      <w:pPr>
        <w:spacing w:before="0" w:after="0" w:line="360" w:lineRule="auto"/>
        <w:jc w:val="right"/>
        <w:rPr>
          <w:b/>
          <w:bCs/>
          <w:color w:val="000000"/>
          <w:sz w:val="23"/>
          <w:szCs w:val="23"/>
        </w:rPr>
      </w:pPr>
      <w:r>
        <w:rPr>
          <w:b/>
          <w:bCs/>
          <w:color w:val="000000"/>
          <w:sz w:val="19"/>
          <w:szCs w:val="19"/>
        </w:rPr>
        <w:t>Бейлинсон</w:t>
      </w:r>
    </w:p>
    <w:p w:rsidR="00045733" w:rsidRDefault="00045733">
      <w:pPr>
        <w:pStyle w:val="-"/>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p>
    <w:p w:rsidR="00045733" w:rsidRDefault="00045733">
      <w:pPr>
        <w:pStyle w:val="-"/>
        <w:jc w:val="left"/>
        <w:rPr>
          <w:rFonts w:ascii="Times New Roman" w:hAnsi="Times New Roman" w:cs="Times New Roman"/>
          <w:color w:val="000000"/>
          <w:sz w:val="23"/>
          <w:szCs w:val="23"/>
          <w:lang w:val="ru-RU"/>
        </w:rPr>
      </w:pPr>
    </w:p>
    <w:p w:rsidR="00045733" w:rsidRDefault="00045733">
      <w:pPr>
        <w:pStyle w:val="-"/>
        <w:jc w:val="left"/>
        <w:rPr>
          <w:rFonts w:ascii="Times New Roman" w:hAnsi="Times New Roman" w:cs="Times New Roman"/>
          <w:color w:val="000000"/>
          <w:sz w:val="23"/>
          <w:szCs w:val="23"/>
          <w:lang w:val="ru-RU"/>
        </w:rPr>
      </w:pPr>
    </w:p>
    <w:p w:rsidR="00045733" w:rsidRDefault="00045733">
      <w:pPr>
        <w:pStyle w:val="-"/>
        <w:jc w:val="left"/>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p>
    <w:p w:rsidR="00045733" w:rsidRDefault="00045733">
      <w:pPr>
        <w:pStyle w:val="-"/>
        <w:rPr>
          <w:rFonts w:ascii="Times New Roman" w:hAnsi="Times New Roman" w:cs="Times New Roman"/>
          <w:color w:val="000000"/>
          <w:sz w:val="23"/>
          <w:szCs w:val="23"/>
          <w:lang w:val="ru-RU"/>
        </w:rPr>
      </w:pPr>
      <w:r>
        <w:rPr>
          <w:rFonts w:ascii="Times New Roman" w:hAnsi="Times New Roman" w:cs="Times New Roman"/>
          <w:color w:val="000000"/>
          <w:sz w:val="23"/>
          <w:szCs w:val="23"/>
        </w:rPr>
        <w:t>НАРВА</w:t>
      </w:r>
    </w:p>
    <w:p w:rsidR="00045733" w:rsidRDefault="00045733">
      <w:pPr>
        <w:pStyle w:val="-"/>
        <w:rPr>
          <w:rFonts w:ascii="Times New Roman" w:hAnsi="Times New Roman" w:cs="Times New Roman"/>
          <w:color w:val="000000"/>
          <w:sz w:val="23"/>
          <w:szCs w:val="23"/>
          <w:lang w:val="ru-RU"/>
        </w:rPr>
      </w:pPr>
      <w:r>
        <w:rPr>
          <w:rFonts w:ascii="Times New Roman" w:hAnsi="Times New Roman" w:cs="Times New Roman"/>
          <w:color w:val="000000"/>
          <w:sz w:val="23"/>
          <w:szCs w:val="23"/>
        </w:rPr>
        <w:t>2005</w:t>
      </w:r>
    </w:p>
    <w:p w:rsidR="00045733" w:rsidRDefault="00045733">
      <w:pPr>
        <w:spacing w:before="0" w:after="0"/>
        <w:rPr>
          <w:sz w:val="23"/>
          <w:szCs w:val="23"/>
        </w:rPr>
      </w:pPr>
    </w:p>
    <w:p w:rsidR="00045733" w:rsidRDefault="00045733">
      <w:pPr>
        <w:spacing w:before="0" w:after="0"/>
        <w:rPr>
          <w:sz w:val="23"/>
          <w:szCs w:val="23"/>
        </w:rPr>
      </w:pPr>
    </w:p>
    <w:p w:rsidR="00045733" w:rsidRDefault="00045733">
      <w:pPr>
        <w:pStyle w:val="aa"/>
        <w:spacing w:line="360" w:lineRule="auto"/>
        <w:jc w:val="center"/>
        <w:rPr>
          <w:b/>
          <w:bCs/>
          <w:caps/>
          <w:sz w:val="23"/>
          <w:szCs w:val="23"/>
        </w:rPr>
      </w:pPr>
      <w:r>
        <w:rPr>
          <w:b/>
          <w:bCs/>
          <w:caps/>
          <w:sz w:val="23"/>
          <w:szCs w:val="23"/>
        </w:rPr>
        <w:t>Оглавление</w:t>
      </w:r>
    </w:p>
    <w:p w:rsidR="00045733" w:rsidRDefault="00045733">
      <w:pPr>
        <w:pStyle w:val="aa"/>
        <w:spacing w:line="360" w:lineRule="auto"/>
        <w:jc w:val="center"/>
        <w:rPr>
          <w:b/>
          <w:bCs/>
          <w:caps/>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1</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Оперативно-розыскная деятельность в Эстонии</w:t>
      </w:r>
    </w:p>
    <w:p w:rsidR="00045733" w:rsidRDefault="00045733">
      <w:pPr>
        <w:spacing w:before="0" w:after="0"/>
        <w:rPr>
          <w:sz w:val="23"/>
          <w:szCs w:val="23"/>
        </w:rPr>
      </w:pPr>
    </w:p>
    <w:p w:rsidR="00045733" w:rsidRDefault="00045733">
      <w:pPr>
        <w:pStyle w:val="aa"/>
        <w:numPr>
          <w:ilvl w:val="1"/>
          <w:numId w:val="8"/>
        </w:numPr>
        <w:spacing w:before="0" w:beforeAutospacing="0" w:after="0" w:afterAutospacing="0" w:line="360" w:lineRule="auto"/>
        <w:rPr>
          <w:b/>
          <w:bCs/>
          <w:sz w:val="23"/>
          <w:szCs w:val="23"/>
        </w:rPr>
      </w:pPr>
      <w:r>
        <w:rPr>
          <w:b/>
          <w:bCs/>
          <w:sz w:val="23"/>
          <w:szCs w:val="23"/>
        </w:rPr>
        <w:t>Оперативно-розыскная деятельность в Эстонии</w:t>
      </w:r>
      <w:r>
        <w:rPr>
          <w:b/>
          <w:bCs/>
          <w:sz w:val="23"/>
          <w:szCs w:val="23"/>
        </w:rPr>
        <w:tab/>
      </w:r>
      <w:r>
        <w:rPr>
          <w:b/>
          <w:bCs/>
          <w:sz w:val="23"/>
          <w:szCs w:val="23"/>
        </w:rPr>
        <w:tab/>
      </w:r>
      <w:r>
        <w:rPr>
          <w:b/>
          <w:bCs/>
          <w:sz w:val="23"/>
          <w:szCs w:val="23"/>
        </w:rPr>
        <w:tab/>
      </w:r>
      <w:r>
        <w:rPr>
          <w:b/>
          <w:bCs/>
          <w:sz w:val="23"/>
          <w:szCs w:val="23"/>
        </w:rPr>
        <w:tab/>
        <w:t>стр.3</w:t>
      </w:r>
    </w:p>
    <w:p w:rsidR="00045733" w:rsidRDefault="00045733">
      <w:pPr>
        <w:pStyle w:val="aa"/>
        <w:numPr>
          <w:ilvl w:val="1"/>
          <w:numId w:val="8"/>
        </w:numPr>
        <w:spacing w:before="0" w:beforeAutospacing="0" w:after="0" w:afterAutospacing="0" w:line="360" w:lineRule="auto"/>
        <w:rPr>
          <w:b/>
          <w:bCs/>
          <w:sz w:val="23"/>
          <w:szCs w:val="23"/>
        </w:rPr>
      </w:pPr>
      <w:r>
        <w:rPr>
          <w:sz w:val="23"/>
          <w:szCs w:val="23"/>
        </w:rPr>
        <w:t xml:space="preserve"> </w:t>
      </w:r>
      <w:r>
        <w:rPr>
          <w:b/>
          <w:bCs/>
          <w:sz w:val="23"/>
          <w:szCs w:val="23"/>
        </w:rPr>
        <w:t>Понятие оперативно-розыскной деятельности</w:t>
      </w:r>
      <w:r>
        <w:rPr>
          <w:b/>
          <w:bCs/>
          <w:sz w:val="23"/>
          <w:szCs w:val="23"/>
        </w:rPr>
        <w:tab/>
      </w:r>
      <w:r>
        <w:rPr>
          <w:b/>
          <w:bCs/>
          <w:sz w:val="23"/>
          <w:szCs w:val="23"/>
        </w:rPr>
        <w:tab/>
      </w:r>
      <w:r>
        <w:rPr>
          <w:b/>
          <w:bCs/>
          <w:sz w:val="23"/>
          <w:szCs w:val="23"/>
        </w:rPr>
        <w:tab/>
      </w:r>
      <w:r>
        <w:rPr>
          <w:b/>
          <w:bCs/>
          <w:sz w:val="23"/>
          <w:szCs w:val="23"/>
        </w:rPr>
        <w:tab/>
        <w:t>стр.3</w:t>
      </w:r>
    </w:p>
    <w:p w:rsidR="00045733" w:rsidRDefault="00045733">
      <w:pPr>
        <w:pStyle w:val="aa"/>
        <w:numPr>
          <w:ilvl w:val="1"/>
          <w:numId w:val="8"/>
        </w:numPr>
        <w:spacing w:before="0" w:beforeAutospacing="0" w:after="0" w:afterAutospacing="0" w:line="360" w:lineRule="auto"/>
        <w:rPr>
          <w:b/>
          <w:bCs/>
          <w:sz w:val="23"/>
          <w:szCs w:val="23"/>
        </w:rPr>
      </w:pPr>
      <w:r>
        <w:rPr>
          <w:b/>
          <w:bCs/>
          <w:sz w:val="23"/>
          <w:szCs w:val="23"/>
        </w:rPr>
        <w:t>Цель оперативно-розыскной деятельности</w:t>
      </w:r>
      <w:r>
        <w:rPr>
          <w:b/>
          <w:bCs/>
          <w:sz w:val="23"/>
          <w:szCs w:val="23"/>
        </w:rPr>
        <w:tab/>
      </w:r>
      <w:r>
        <w:rPr>
          <w:b/>
          <w:bCs/>
          <w:sz w:val="23"/>
          <w:szCs w:val="23"/>
        </w:rPr>
        <w:tab/>
      </w:r>
      <w:r>
        <w:rPr>
          <w:b/>
          <w:bCs/>
          <w:sz w:val="23"/>
          <w:szCs w:val="23"/>
        </w:rPr>
        <w:tab/>
      </w:r>
      <w:r>
        <w:rPr>
          <w:b/>
          <w:bCs/>
          <w:sz w:val="23"/>
          <w:szCs w:val="23"/>
        </w:rPr>
        <w:tab/>
      </w:r>
      <w:r>
        <w:rPr>
          <w:b/>
          <w:bCs/>
          <w:sz w:val="23"/>
          <w:szCs w:val="23"/>
        </w:rPr>
        <w:tab/>
        <w:t>стр.3</w:t>
      </w:r>
    </w:p>
    <w:p w:rsidR="00045733" w:rsidRDefault="00045733">
      <w:pPr>
        <w:pStyle w:val="aa"/>
        <w:numPr>
          <w:ilvl w:val="1"/>
          <w:numId w:val="8"/>
        </w:numPr>
        <w:spacing w:before="0" w:beforeAutospacing="0" w:after="0" w:afterAutospacing="0" w:line="360" w:lineRule="auto"/>
        <w:rPr>
          <w:b/>
          <w:bCs/>
          <w:sz w:val="23"/>
          <w:szCs w:val="23"/>
        </w:rPr>
      </w:pPr>
      <w:r>
        <w:rPr>
          <w:b/>
          <w:bCs/>
          <w:sz w:val="23"/>
          <w:szCs w:val="23"/>
        </w:rPr>
        <w:t>Правовое регулирование оперативно-розыскной деятельности</w:t>
      </w:r>
      <w:r>
        <w:rPr>
          <w:b/>
          <w:bCs/>
          <w:sz w:val="23"/>
          <w:szCs w:val="23"/>
        </w:rPr>
        <w:tab/>
      </w:r>
      <w:r>
        <w:rPr>
          <w:b/>
          <w:bCs/>
          <w:sz w:val="23"/>
          <w:szCs w:val="23"/>
        </w:rPr>
        <w:tab/>
        <w:t>стр.4</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2</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 xml:space="preserve">Розыскные ведомства и их обязанности </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2.1 Розыскные ведомства</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стр.4</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2.2 Обязанности розыскных ведомств</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стр.5</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3</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Взаимодействие следственной и оперативно-розыскной деятельности</w:t>
      </w:r>
      <w:r>
        <w:rPr>
          <w:rFonts w:ascii="Times New Roman" w:hAnsi="Times New Roman" w:cs="Times New Roman"/>
          <w:sz w:val="23"/>
          <w:szCs w:val="23"/>
        </w:rPr>
        <w:tab/>
        <w:t>стр.5</w:t>
      </w:r>
    </w:p>
    <w:p w:rsidR="00045733" w:rsidRDefault="00045733">
      <w:pPr>
        <w:pStyle w:val="aa"/>
        <w:spacing w:before="0" w:beforeAutospacing="0" w:after="0" w:afterAutospacing="0" w:line="360" w:lineRule="auto"/>
        <w:rPr>
          <w:b/>
          <w:bCs/>
          <w:sz w:val="23"/>
          <w:szCs w:val="23"/>
        </w:rPr>
      </w:pPr>
    </w:p>
    <w:p w:rsidR="00045733" w:rsidRDefault="00045733">
      <w:pPr>
        <w:pStyle w:val="aa"/>
        <w:spacing w:before="0" w:beforeAutospacing="0" w:after="0" w:afterAutospacing="0" w:line="360" w:lineRule="auto"/>
        <w:rPr>
          <w:b/>
          <w:bCs/>
          <w:sz w:val="23"/>
          <w:szCs w:val="23"/>
        </w:rPr>
      </w:pPr>
    </w:p>
    <w:p w:rsidR="00045733" w:rsidRDefault="00045733">
      <w:pPr>
        <w:pStyle w:val="aa"/>
        <w:spacing w:before="0" w:beforeAutospacing="0" w:after="0" w:afterAutospacing="0" w:line="360" w:lineRule="auto"/>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aa"/>
        <w:spacing w:line="360" w:lineRule="auto"/>
        <w:ind w:left="360"/>
        <w:rPr>
          <w:b/>
          <w:bCs/>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1</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Оперативно-розыскная деятельность в Эстонии</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 xml:space="preserve">1.1 Оперативно-розыскная деятельность в Эстонии </w:t>
      </w:r>
    </w:p>
    <w:p w:rsidR="00045733" w:rsidRDefault="00045733">
      <w:pPr>
        <w:pStyle w:val="aa"/>
        <w:spacing w:line="360" w:lineRule="auto"/>
        <w:rPr>
          <w:sz w:val="23"/>
          <w:szCs w:val="23"/>
        </w:rPr>
      </w:pPr>
      <w:r>
        <w:rPr>
          <w:sz w:val="23"/>
          <w:szCs w:val="23"/>
        </w:rPr>
        <w:t xml:space="preserve">В Эстонской республике оперативно-розыскная деятельность регулируется Законом об оперативно-розыскной деятельности. </w:t>
      </w:r>
    </w:p>
    <w:p w:rsidR="00045733" w:rsidRDefault="00045733">
      <w:pPr>
        <w:pStyle w:val="aa"/>
        <w:spacing w:line="360" w:lineRule="auto"/>
        <w:rPr>
          <w:sz w:val="23"/>
          <w:szCs w:val="23"/>
        </w:rPr>
      </w:pPr>
      <w:r>
        <w:rPr>
          <w:sz w:val="23"/>
          <w:szCs w:val="23"/>
        </w:rPr>
        <w:t>Задачей настоящего Закона является:</w:t>
      </w:r>
    </w:p>
    <w:p w:rsidR="00045733" w:rsidRDefault="00045733">
      <w:pPr>
        <w:pStyle w:val="aa"/>
        <w:spacing w:line="360" w:lineRule="auto"/>
        <w:rPr>
          <w:sz w:val="23"/>
          <w:szCs w:val="23"/>
        </w:rPr>
      </w:pPr>
      <w:r>
        <w:rPr>
          <w:sz w:val="23"/>
          <w:szCs w:val="23"/>
        </w:rPr>
        <w:t>1) установление условий и порядка оперативно-розыскной деятельности в целях обеспечения безопасности Эстонской Республики, граждан Эстонии, а также других государств и лиц, раскрытия и пресечения направленных против них преступлений, обеспечения конституционных прав граждан Эстонии и других лиц;</w:t>
      </w:r>
    </w:p>
    <w:p w:rsidR="00045733" w:rsidRDefault="00045733">
      <w:pPr>
        <w:pStyle w:val="aa"/>
        <w:spacing w:line="360" w:lineRule="auto"/>
        <w:rPr>
          <w:sz w:val="23"/>
          <w:szCs w:val="23"/>
        </w:rPr>
      </w:pPr>
      <w:r>
        <w:rPr>
          <w:sz w:val="23"/>
          <w:szCs w:val="23"/>
        </w:rPr>
        <w:t>2) установление соответствующих Конституции ограничений конституционных прав граждан Эстонии и других лиц, необходимых для выполнения перечисленных в пункте 1 задач;</w:t>
      </w:r>
    </w:p>
    <w:p w:rsidR="00045733" w:rsidRDefault="00045733">
      <w:pPr>
        <w:pStyle w:val="aa"/>
        <w:spacing w:line="360" w:lineRule="auto"/>
        <w:rPr>
          <w:sz w:val="23"/>
          <w:szCs w:val="23"/>
        </w:rPr>
      </w:pPr>
      <w:r>
        <w:rPr>
          <w:sz w:val="23"/>
          <w:szCs w:val="23"/>
        </w:rPr>
        <w:t>3) выполнение международных обязательств Эстонской Республики, требующих оперативно-розыскной деятельности и не противоречащих задачам, перечисленным в пунктах 1 и 2.</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1.2. Понятие оперативно-розыскной деятельности</w:t>
      </w:r>
    </w:p>
    <w:p w:rsidR="00045733" w:rsidRDefault="00045733">
      <w:pPr>
        <w:pStyle w:val="aa"/>
        <w:spacing w:line="360" w:lineRule="auto"/>
        <w:rPr>
          <w:sz w:val="23"/>
          <w:szCs w:val="23"/>
        </w:rPr>
      </w:pPr>
      <w:r>
        <w:rPr>
          <w:sz w:val="23"/>
          <w:szCs w:val="23"/>
        </w:rPr>
        <w:t xml:space="preserve">Оперативно-розыскной деятельностью является гласная и тайная деятельность указанных в Законе об оперативно-розыскной деятельности (далее Законом об ОПР) розыскных ведомств в случаях и порядке, установленных Законом об ОПР. </w:t>
      </w:r>
    </w:p>
    <w:p w:rsidR="00045733" w:rsidRDefault="00045733">
      <w:pPr>
        <w:pStyle w:val="3"/>
        <w:rPr>
          <w:b w:val="0"/>
          <w:bCs w:val="0"/>
          <w:sz w:val="25"/>
          <w:szCs w:val="25"/>
        </w:rPr>
      </w:pPr>
      <w:r>
        <w:rPr>
          <w:rFonts w:ascii="Times New Roman" w:hAnsi="Times New Roman" w:cs="Times New Roman"/>
          <w:sz w:val="23"/>
          <w:szCs w:val="23"/>
        </w:rPr>
        <w:t>1.3 Цель оперативно-розыскной деятельности</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Целью оперативно-розыскной деятельности является сбор сведений и совершение иных разрешенных настоящим Законом действий, необходимых: </w:t>
      </w:r>
    </w:p>
    <w:p w:rsidR="00045733" w:rsidRDefault="00045733">
      <w:pPr>
        <w:pStyle w:val="aa"/>
        <w:spacing w:before="0" w:beforeAutospacing="0" w:after="0" w:afterAutospacing="0" w:line="360" w:lineRule="auto"/>
        <w:rPr>
          <w:sz w:val="23"/>
          <w:szCs w:val="23"/>
        </w:rPr>
      </w:pPr>
      <w:r>
        <w:rPr>
          <w:sz w:val="23"/>
          <w:szCs w:val="23"/>
        </w:rPr>
        <w:t>1) для пресечения подготавливаемых или совершаемых преступлений;</w:t>
      </w:r>
      <w:r>
        <w:rPr>
          <w:sz w:val="23"/>
          <w:szCs w:val="23"/>
        </w:rPr>
        <w:br/>
        <w:t xml:space="preserve">2) для раскрытия совершенных преступлений, розыска совершивших преступления лиц, возмещения причиненного преступлением ущерба и выявления иных обязательств, имеющих важное значение в производстве по уголовным делам; </w:t>
      </w:r>
      <w:r>
        <w:rPr>
          <w:sz w:val="23"/>
          <w:szCs w:val="23"/>
        </w:rPr>
        <w:br/>
        <w:t>3) для задержания разыскиваемого и установления местонахождения пропавшего без вести лица.</w:t>
      </w:r>
    </w:p>
    <w:p w:rsidR="00045733" w:rsidRDefault="00045733">
      <w:pPr>
        <w:pStyle w:val="aa"/>
        <w:spacing w:before="0" w:beforeAutospacing="0" w:after="0" w:afterAutospacing="0" w:line="360" w:lineRule="auto"/>
        <w:rPr>
          <w:sz w:val="23"/>
          <w:szCs w:val="23"/>
        </w:rPr>
      </w:pPr>
      <w:r>
        <w:rPr>
          <w:sz w:val="23"/>
          <w:szCs w:val="23"/>
        </w:rPr>
        <w:br/>
        <w:t>Оперативно-розыскная деятельность для пресечения подготавливаемых или совершаемых преступлений может осуществляться для исполнения запросов, вытекающих из международных договоров Эстонской Республики и участия в деятельности Интерпола или иных международных организаций.</w:t>
      </w:r>
    </w:p>
    <w:p w:rsidR="00045733" w:rsidRDefault="00045733">
      <w:pPr>
        <w:pStyle w:val="aa"/>
        <w:spacing w:before="0" w:beforeAutospacing="0" w:after="0" w:afterAutospacing="0" w:line="360" w:lineRule="auto"/>
        <w:rPr>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1.4. Правовое регулирование оперативно-розыскной деятельности</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Правовой основой оперативно-розыскной деятельности являются Конституция, законы, регулирующие производство по уголовным делам, закон о Полиции, Закон об ОПР, иные законы, а также правовые акты, изданные на их основании и во исполнение их.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В оперативно-розыскной деятельности руководствуются принципом совмещения законности, гласности и секретности. Оперативно-розыскная деятельность не может использоваться в интересах партий, общественно-политических объединений и движений или в целях их дискредитирования. Розыскные ведомства не должны против свободной воли гражданина Эстонии собирать и хранить данные о его убеждениях</w:t>
      </w:r>
      <w:r>
        <w:rPr>
          <w:rStyle w:val="a9"/>
          <w:sz w:val="23"/>
          <w:szCs w:val="23"/>
        </w:rPr>
        <w:footnoteReference w:id="1"/>
      </w:r>
      <w:r>
        <w:rPr>
          <w:sz w:val="23"/>
          <w:szCs w:val="23"/>
        </w:rPr>
        <w:t>.</w:t>
      </w:r>
    </w:p>
    <w:p w:rsidR="00045733" w:rsidRDefault="00045733">
      <w:pPr>
        <w:pStyle w:val="aa"/>
        <w:spacing w:line="360" w:lineRule="auto"/>
        <w:rPr>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2</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 xml:space="preserve">Розыскные ведомства и их обязанности </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2.1. Розыскные ведомства</w:t>
      </w:r>
    </w:p>
    <w:p w:rsidR="00045733" w:rsidRDefault="00045733">
      <w:pPr>
        <w:pStyle w:val="aa"/>
        <w:spacing w:line="360" w:lineRule="auto"/>
        <w:rPr>
          <w:sz w:val="23"/>
          <w:szCs w:val="23"/>
        </w:rPr>
      </w:pPr>
      <w:r>
        <w:rPr>
          <w:sz w:val="23"/>
          <w:szCs w:val="23"/>
        </w:rPr>
        <w:t>Розыскными ведомствами в соответствии со статьёй 6 Закона об ОПР являются :</w:t>
      </w:r>
    </w:p>
    <w:p w:rsidR="00045733" w:rsidRDefault="00045733">
      <w:pPr>
        <w:pStyle w:val="aa"/>
        <w:spacing w:before="0" w:beforeAutospacing="0" w:after="0" w:afterAutospacing="0" w:line="360" w:lineRule="auto"/>
        <w:rPr>
          <w:sz w:val="23"/>
          <w:szCs w:val="23"/>
        </w:rPr>
      </w:pPr>
      <w:r>
        <w:rPr>
          <w:sz w:val="23"/>
          <w:szCs w:val="23"/>
        </w:rPr>
        <w:t>1)Департамент полиции безопасности;</w:t>
      </w:r>
      <w:r>
        <w:rPr>
          <w:sz w:val="23"/>
          <w:szCs w:val="23"/>
        </w:rPr>
        <w:br/>
        <w:t>2) Департамент полиции;</w:t>
      </w:r>
      <w:r>
        <w:rPr>
          <w:sz w:val="23"/>
          <w:szCs w:val="23"/>
        </w:rPr>
        <w:br/>
        <w:t xml:space="preserve">3) Департамент пограничной охраны; </w:t>
      </w:r>
      <w:r>
        <w:rPr>
          <w:sz w:val="23"/>
          <w:szCs w:val="23"/>
        </w:rPr>
        <w:br/>
        <w:t>4) Генеральный штаб Сил обороны;</w:t>
      </w:r>
      <w:r>
        <w:rPr>
          <w:sz w:val="23"/>
          <w:szCs w:val="23"/>
        </w:rPr>
        <w:br/>
        <w:t xml:space="preserve">5) Отдел тюрем Министерства юстиции и тюрьмы; </w:t>
      </w:r>
    </w:p>
    <w:p w:rsidR="00045733" w:rsidRDefault="00045733">
      <w:pPr>
        <w:pStyle w:val="aa"/>
        <w:spacing w:before="0" w:beforeAutospacing="0" w:after="0" w:afterAutospacing="0" w:line="360" w:lineRule="auto"/>
        <w:rPr>
          <w:sz w:val="23"/>
          <w:szCs w:val="23"/>
        </w:rPr>
      </w:pPr>
      <w:r>
        <w:rPr>
          <w:sz w:val="23"/>
          <w:szCs w:val="23"/>
        </w:rPr>
        <w:t>6) Таможенный департамент;</w:t>
      </w:r>
      <w:r>
        <w:rPr>
          <w:sz w:val="23"/>
          <w:szCs w:val="23"/>
        </w:rPr>
        <w:br/>
        <w:t>7) Налоговый департамент.</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Розыскные ведомства занимаются оперативно-розыскной деятельностью как непосредственно, так и через находящихся в их ведении и уполномоченные на то учреждения, подразделения и работников, а также лиц, привлеченных к негласному сотрудничеству. Руководитель розыскного ведомства несет ответственность за организацию оперативно-розыскной деятельности и законность этой деятельности в подчиненной ему системе. Розыскные ведомства сотрудничают между собой, руководствуясь Законом об ОПР. Департамент полиции безопасности является оперативно- розыскным ведомством при предварительном расследовании уголовных дел. В отношении выполнения иных задач, входящих в его компетенцию, применяется Закон о службах безопасности.</w:t>
      </w:r>
    </w:p>
    <w:p w:rsidR="00045733" w:rsidRDefault="00045733">
      <w:pPr>
        <w:pStyle w:val="aa"/>
        <w:spacing w:before="0" w:beforeAutospacing="0" w:after="0" w:afterAutospacing="0" w:line="360" w:lineRule="auto"/>
        <w:rPr>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2.2. Обязанности розыскных ведомств</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При осуществлении оперативно-розыскной деятельности розыскные ведомства обязаны: </w:t>
      </w:r>
    </w:p>
    <w:p w:rsidR="00045733" w:rsidRDefault="00045733">
      <w:pPr>
        <w:pStyle w:val="aa"/>
        <w:spacing w:before="0" w:beforeAutospacing="0" w:after="0" w:afterAutospacing="0" w:line="360" w:lineRule="auto"/>
        <w:rPr>
          <w:sz w:val="23"/>
          <w:szCs w:val="23"/>
        </w:rPr>
      </w:pPr>
      <w:r>
        <w:rPr>
          <w:sz w:val="23"/>
          <w:szCs w:val="23"/>
        </w:rPr>
        <w:t xml:space="preserve">1)собирать, хранить, анализировать и использовать информацию, связанную с преступностью и ее инфраструктурой; </w:t>
      </w:r>
      <w:r>
        <w:rPr>
          <w:sz w:val="23"/>
          <w:szCs w:val="23"/>
        </w:rPr>
        <w:br/>
        <w:t xml:space="preserve">2) защищать законные права и свободы граждан Эстонии и других лиц, оказавшихся в сфере оперативно-розыскной деятельности, а также привлеченных к оперативно-розыскной деятельности лиц и иных физических и юридических лиц, оказывающих помощь в совершении розыскных действий. </w:t>
      </w:r>
      <w:r>
        <w:rPr>
          <w:sz w:val="23"/>
          <w:szCs w:val="23"/>
        </w:rPr>
        <w:br/>
        <w:t xml:space="preserve">3) защищать участвующих или участвовавших в оперативно- розыскной деятельности и привлекаемых или привлеченных к этой деятельности лиц в целях предотвращения опасности для жизни, здоровья, имущества, чести и достоинства их самих и их близких; </w:t>
      </w:r>
      <w:r>
        <w:rPr>
          <w:sz w:val="23"/>
          <w:szCs w:val="23"/>
        </w:rPr>
        <w:br/>
        <w:t xml:space="preserve">4) обеспечивать секретность сотрудничества; </w:t>
      </w:r>
      <w:r>
        <w:rPr>
          <w:sz w:val="23"/>
          <w:szCs w:val="23"/>
        </w:rPr>
        <w:br/>
        <w:t xml:space="preserve">5) неуклонно соблюдать требования правовых актов об оперативно-розыскной деятельности. </w:t>
      </w:r>
    </w:p>
    <w:p w:rsidR="00045733" w:rsidRDefault="00045733">
      <w:pPr>
        <w:pStyle w:val="aa"/>
        <w:spacing w:before="0" w:beforeAutospacing="0" w:after="0" w:afterAutospacing="0" w:line="360" w:lineRule="auto"/>
        <w:ind w:left="360"/>
        <w:rPr>
          <w:sz w:val="23"/>
          <w:szCs w:val="23"/>
        </w:rPr>
      </w:pPr>
    </w:p>
    <w:p w:rsidR="00045733" w:rsidRDefault="00045733">
      <w:pPr>
        <w:pStyle w:val="aa"/>
        <w:spacing w:before="0" w:beforeAutospacing="0" w:after="0" w:afterAutospacing="0" w:line="360" w:lineRule="auto"/>
        <w:rPr>
          <w:sz w:val="23"/>
          <w:szCs w:val="23"/>
        </w:rPr>
      </w:pPr>
      <w:r>
        <w:rPr>
          <w:sz w:val="23"/>
          <w:szCs w:val="23"/>
        </w:rPr>
        <w:t>Если из сведений, полученных в результате оперативно-розыскной деятельности, явствуют признаки преступления, розыскное ведомство представляет эти данные для начала уголовного производства.</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ГЛАВА 3</w:t>
      </w:r>
    </w:p>
    <w:p w:rsidR="00045733" w:rsidRDefault="00045733">
      <w:pPr>
        <w:pStyle w:val="3"/>
        <w:rPr>
          <w:rFonts w:ascii="Times New Roman" w:hAnsi="Times New Roman" w:cs="Times New Roman"/>
          <w:sz w:val="23"/>
          <w:szCs w:val="23"/>
        </w:rPr>
      </w:pPr>
      <w:r>
        <w:rPr>
          <w:rFonts w:ascii="Times New Roman" w:hAnsi="Times New Roman" w:cs="Times New Roman"/>
          <w:sz w:val="23"/>
          <w:szCs w:val="23"/>
        </w:rPr>
        <w:t>Взаимодействие следственной и оперативно-розыскной деятельности</w:t>
      </w:r>
    </w:p>
    <w:p w:rsidR="00045733" w:rsidRDefault="00045733">
      <w:pPr>
        <w:pStyle w:val="aa"/>
        <w:spacing w:before="0" w:beforeAutospacing="0" w:after="0" w:afterAutospacing="0" w:line="360" w:lineRule="auto"/>
        <w:rPr>
          <w:b/>
          <w:bCs/>
          <w:sz w:val="23"/>
          <w:szCs w:val="23"/>
        </w:rPr>
      </w:pPr>
    </w:p>
    <w:p w:rsidR="00045733" w:rsidRDefault="00045733">
      <w:pPr>
        <w:pStyle w:val="aa"/>
        <w:spacing w:before="0" w:beforeAutospacing="0" w:after="0" w:afterAutospacing="0" w:line="360" w:lineRule="auto"/>
        <w:rPr>
          <w:sz w:val="23"/>
          <w:szCs w:val="23"/>
        </w:rPr>
      </w:pPr>
      <w:r>
        <w:rPr>
          <w:sz w:val="23"/>
          <w:szCs w:val="23"/>
        </w:rPr>
        <w:t>Эффективность раскрытия, расследования и предотвращения преступлений в значительной степени зависит от слаженности, согласованности в деятельности следователя и органов осуществляющих оперативно-розыскную деятельность. Оперативники обеспечивают следователя дополнительной информацией.</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Разнообразие возникающих в практике расследования преступлений ситуаций, требующих взаимодействия следователя и органа ОРД, целесообразно соотносить с тем этапом расследования, на котором возникает необходимость в осуществлении такого взаимодействия: в стадии возбуждения уголовного дела, в стадии предварительного следствия, по приостановленному уголовному делу. Однако в процессуальной литературе бытует и другое мнение: "взаимодействие является необходимым и целесообразным лишь при решении основной задачи предварительного следствия, итоги которого выражаются в постановлении следователя о привлечении виновного лица к уголовной ответственности. Осуществление же взаимодействия для решения последующих задач предварительного следствия влечет за собой нерациональное использование оперативно-розыскных мер и времени сотрудников оперативных аппаратов". С таким мнением трудно согласиться. Хотя следует отметить, что следователь не связан обязанностью непременно реализовать свое право использовать возможности органа дознания при расследовании каждого уголовного дела. Это он делает в случае необходимости. Применительно к уголовным делам приостановленным, в случае, когда подозреваемый или обвиняемый скрылся от следствия или когда место его нахождения не установлено по иным причинам, следователь может самостоятельно принимать меры к установлению местонахождения разыскиваемого лица, либо поручает розыск органу ОРД.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Взаимодействие следователя с ОРД протекает в определенных формах. Они могут быть процессуальными и непроцессуальными. И.Ф. Герасимов называет процессуальные формы основными формами взаимодействия органов следствия и органов ОРД, так как они придают взаимодействию правовой характер. Однако они неизбежно порождают различные организационные и тактические связи и взаимоотношения, которые по своему назначению способствуют более рациональному и эффективному практическому использованию процессуальных форм. Поэтому можно считать, что организационно - тактические формы взаимодействия выполняют вспомогательную роль по отношению к процессуальным. В криминалистической и процессуальной литературе имеется несколько работ, авторы которых не выделяют отдельно непроцессуальные формы и рассматривают их вместе с процессуальными. По этому поводу И.Ф. Герасимов отметил, что "не совсем верно уравнивать формы взаимодействия, предусмотренные законом, с формами, возникающими и сложившимися в практической деятельности, но не регулируемыми нормами права"</w:t>
      </w:r>
      <w:r>
        <w:rPr>
          <w:rStyle w:val="a9"/>
          <w:sz w:val="23"/>
          <w:szCs w:val="23"/>
        </w:rPr>
        <w:footnoteReference w:id="2"/>
      </w:r>
      <w:r>
        <w:rPr>
          <w:sz w:val="23"/>
          <w:szCs w:val="23"/>
        </w:rPr>
        <w:t xml:space="preserve">.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А.Н. Балашов, аналогично И.Ф. Герасимову, в качестве основания деления форм взаимодействия следователя и органа дознания на процессуальные и непроцессуальные, рассматривает закрепление их нормами уголовно-процессуального закона. По его мнению, если в результате согласованной деятельности выполняются действия, порядок которых регламентирован процессуальными нормами, то такая форма взаимодействия является процессуальной. Если кем-либо из субъектов взаимодействия выполняются непроцессуальные действия, эту форму взаимодействия следует отнести к организационным. Так, выполнение органом дознания по поручению следователя розыскных действий является процессуальной формой взаимодействия, поскольку осуществляется согласно нормам уголовно-процессуального закона, а выполнение оперативных действий, порядок которых не регламентирован УПК, относится к непроцессуальным формам взаимодействия"</w:t>
      </w:r>
      <w:r>
        <w:rPr>
          <w:rStyle w:val="a9"/>
          <w:sz w:val="23"/>
          <w:szCs w:val="23"/>
        </w:rPr>
        <w:footnoteReference w:id="3"/>
      </w:r>
      <w:r>
        <w:rPr>
          <w:sz w:val="23"/>
          <w:szCs w:val="23"/>
        </w:rPr>
        <w:t>.</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Данную точку зрения поддерживает Н.А. Патов. Он считает, что разграничение форм взаимодействия имеет важное практическое значение ибо "нарушение процессуальных форм взаимодействия, то есть отступление от норм процессуального закона, регламентирующих эти формы, может привести к невозможности использования в уголовном процессе полученных данных, отрицательно сказаться на законности и обоснованности принимаемых решений. Отступление от организационных форм, хотя и может причинить ущерб интересам, но оно не сопряжено с процессуально - правовыми последствиями"</w:t>
      </w:r>
      <w:r>
        <w:rPr>
          <w:rStyle w:val="a9"/>
          <w:sz w:val="23"/>
          <w:szCs w:val="23"/>
        </w:rPr>
        <w:footnoteReference w:id="4"/>
      </w:r>
      <w:r>
        <w:rPr>
          <w:sz w:val="23"/>
          <w:szCs w:val="23"/>
        </w:rPr>
        <w:t xml:space="preserve">.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По уголовным делам, приостановленным производством в случае, когда подозреваемый или обвиняемый скрылся, или когда место его нахождения не установлено по иным причинам, единственной процессуальной формой взаимодействия является поручение следователем органу ОРД розыска подозреваемого или обвиняемого, местонахождение которого неизвестно, на основании вынесенного им постановления об объявлении розыска.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 xml:space="preserve">К непроцессуальным формам взаимодействия относятся: совместное изучение и анализ результатов по делу, выработка розыскных версий, совместное планирование розыскных и оперативно-розыскных мероприятий, направленных на установление местонахождения разыскиваемого лица; систематический обмен информацией следователя и органа дознания в процессе работы по приостановленному уголовному делу устной или письменной информацией, в том числе данными, полученными в ходе оперативно-розыскной деятельности; внесение изменений в ранее разработанный план с учетом полученной новой информацией; организация взаимодействия с другими правоохранительными органами и привлечение общественности.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Учитывая вышеизложенное, следует отметить, что по приостановленным в связи с розыском подозреваемого, обвиняемого уголовным делам имеют место в основном непроцессуальные формы взаимодействия. Так, приостановив уголовное дело, следователь совместно с органом дознания должен изучить уголовное дело, приостановленное производством, ознакомиться с исходными данными о личности разыскиваемого подозреваемого или обвиняемого, его приметах, образовании, прежних местах работы и жительства, родственных и иных связях. На основе имеющейся в деле информации следователь и сотрудник органа ОРД выдвигают розыскные версии: "о возможных местах нахождения обвиняемого, вероятном маршруте движения скрывшегося обвиняемого, предполагаемом месте укрытия обвиняемого, о месте и времени возможного появления обвиняемого. Фактические данные для выдвижения розыскных версий можно получить из процессуальных источников, от общественности, из различных источников, к которым относятся слухи, анонимные письма, телефонные звонки и т.д. При выдвижении розыскных версий желательно учитывать такие обстоятельств, как типичные места, где могут скрываться разыскиваемые, каким образом им удается получать фиктивные документы, как они добывают средства к существованию, поддерживают ли связь с родственниками или знакомыми. Учет таких обстоятельств может значительно облегчить розыск лиц, совершивших преступления</w:t>
      </w:r>
      <w:r>
        <w:rPr>
          <w:rStyle w:val="a9"/>
          <w:sz w:val="23"/>
          <w:szCs w:val="23"/>
        </w:rPr>
        <w:footnoteReference w:id="5"/>
      </w:r>
      <w:r>
        <w:rPr>
          <w:sz w:val="23"/>
          <w:szCs w:val="23"/>
        </w:rPr>
        <w:t xml:space="preserve">. </w:t>
      </w:r>
    </w:p>
    <w:p w:rsidR="00045733" w:rsidRDefault="00045733">
      <w:pPr>
        <w:pStyle w:val="aa"/>
        <w:spacing w:before="0" w:beforeAutospacing="0" w:after="0" w:afterAutospacing="0" w:line="360" w:lineRule="auto"/>
        <w:rPr>
          <w:sz w:val="23"/>
          <w:szCs w:val="23"/>
        </w:rPr>
      </w:pPr>
    </w:p>
    <w:p w:rsidR="00045733" w:rsidRDefault="00045733">
      <w:pPr>
        <w:pStyle w:val="aa"/>
        <w:spacing w:before="0" w:beforeAutospacing="0" w:after="0" w:afterAutospacing="0" w:line="360" w:lineRule="auto"/>
        <w:rPr>
          <w:sz w:val="23"/>
          <w:szCs w:val="23"/>
        </w:rPr>
      </w:pPr>
      <w:r>
        <w:rPr>
          <w:sz w:val="23"/>
          <w:szCs w:val="23"/>
        </w:rPr>
        <w:t>Содержание розыскных версий находит свое отражение в совместных планах следователя и сотрудника ОРД. Совместное планирование розыскных и оперативно - розыскных мероприятий следователем и органом ОРД уже давно высоко оценивается учеными - процессуалистами. По мнению И.Ф. Герасимова совместное планирование "является наиболее совершенной формой взаимодействия, помогает обеспечить хорошую согласованность и четкое разграничение обязанностей при совместной деятельности следователя и органа дознания"</w:t>
      </w:r>
      <w:r>
        <w:rPr>
          <w:rStyle w:val="a9"/>
          <w:sz w:val="23"/>
          <w:szCs w:val="23"/>
        </w:rPr>
        <w:footnoteReference w:id="6"/>
      </w:r>
      <w:r>
        <w:rPr>
          <w:sz w:val="23"/>
          <w:szCs w:val="23"/>
        </w:rPr>
        <w:t>. При составлении планов необходимо принимать в расчет и помощь других органов, тем более, что розыск подозреваемых или обвиняемых осуществляется по существу различными органами дознания, территориально отстоящими друг от друга на значительном расстоянии (8, с. 88). В ходе проведения розыскных и оперативно-розыскных мероприятий совместное обсуждение и составление плана следователем и органом ОРД может иметь место не один, а несколько раз, в зависимости от возникающей в ходе следствия ситуации и категории розыска. При этом большое значение имеет систематический обмен информацией между следователем и сотрудником органа ОРД</w:t>
      </w:r>
      <w:r>
        <w:rPr>
          <w:rStyle w:val="a9"/>
          <w:sz w:val="23"/>
          <w:szCs w:val="23"/>
        </w:rPr>
        <w:footnoteReference w:id="7"/>
      </w:r>
      <w:r>
        <w:rPr>
          <w:sz w:val="23"/>
          <w:szCs w:val="23"/>
        </w:rPr>
        <w:t xml:space="preserve">. </w:t>
      </w:r>
    </w:p>
    <w:p w:rsidR="00045733" w:rsidRDefault="00045733">
      <w:pPr>
        <w:pStyle w:val="aa"/>
        <w:spacing w:line="360" w:lineRule="auto"/>
        <w:rPr>
          <w:sz w:val="23"/>
          <w:szCs w:val="23"/>
        </w:rPr>
      </w:pPr>
      <w:r>
        <w:rPr>
          <w:sz w:val="23"/>
          <w:szCs w:val="23"/>
        </w:rPr>
        <w:t>Содействие в розыске подозреваемого, обвиняемого может оказать и общественность. Взаимодействие следователя с общественностью в розыске лица, совершившего преступление, осуществляется в преследовании преступника по горячим следам, задержании и доставлении его к следователю, в совместном, под руководством следователя, проведении розыскных мероприятий, направленных на установление местонахождения разыскиваемого, а также в участии различного рода мероприятиях, преследующих цель установления и задержания лица, совершившего преступление</w:t>
      </w:r>
      <w:r>
        <w:rPr>
          <w:rStyle w:val="a9"/>
          <w:sz w:val="23"/>
          <w:szCs w:val="23"/>
        </w:rPr>
        <w:footnoteReference w:id="8"/>
      </w:r>
      <w:r>
        <w:rPr>
          <w:sz w:val="23"/>
          <w:szCs w:val="23"/>
        </w:rPr>
        <w:t xml:space="preserve">. </w:t>
      </w:r>
    </w:p>
    <w:p w:rsidR="00045733" w:rsidRDefault="00045733">
      <w:pPr>
        <w:pStyle w:val="aa"/>
        <w:spacing w:line="360" w:lineRule="auto"/>
        <w:rPr>
          <w:sz w:val="23"/>
          <w:szCs w:val="23"/>
        </w:rPr>
      </w:pPr>
    </w:p>
    <w:p w:rsidR="00045733" w:rsidRDefault="00045733">
      <w:pPr>
        <w:pStyle w:val="aa"/>
        <w:spacing w:line="360" w:lineRule="auto"/>
        <w:rPr>
          <w:sz w:val="23"/>
          <w:szCs w:val="23"/>
        </w:rPr>
      </w:pPr>
    </w:p>
    <w:p w:rsidR="00045733" w:rsidRDefault="00045733">
      <w:pPr>
        <w:pStyle w:val="aa"/>
        <w:spacing w:line="360" w:lineRule="auto"/>
        <w:rPr>
          <w:sz w:val="23"/>
          <w:szCs w:val="23"/>
        </w:rPr>
      </w:pPr>
    </w:p>
    <w:p w:rsidR="00045733" w:rsidRDefault="00045733">
      <w:pPr>
        <w:pStyle w:val="aa"/>
        <w:spacing w:before="0" w:beforeAutospacing="0" w:after="0" w:afterAutospacing="0" w:line="360" w:lineRule="auto"/>
        <w:rPr>
          <w:b/>
          <w:bCs/>
          <w:sz w:val="23"/>
          <w:szCs w:val="23"/>
        </w:rPr>
      </w:pPr>
      <w:r>
        <w:rPr>
          <w:b/>
          <w:bCs/>
          <w:sz w:val="23"/>
          <w:szCs w:val="23"/>
        </w:rPr>
        <w:t>Источники информации</w:t>
      </w:r>
    </w:p>
    <w:p w:rsidR="00045733" w:rsidRDefault="00045733">
      <w:pPr>
        <w:pStyle w:val="aa"/>
        <w:spacing w:before="0" w:beforeAutospacing="0" w:after="0" w:afterAutospacing="0" w:line="360" w:lineRule="auto"/>
        <w:ind w:left="360"/>
        <w:rPr>
          <w:sz w:val="23"/>
          <w:szCs w:val="23"/>
        </w:rPr>
      </w:pPr>
    </w:p>
    <w:p w:rsidR="00045733" w:rsidRDefault="00045733">
      <w:pPr>
        <w:pStyle w:val="aa"/>
        <w:numPr>
          <w:ilvl w:val="0"/>
          <w:numId w:val="7"/>
        </w:numPr>
        <w:spacing w:before="0" w:beforeAutospacing="0" w:after="0" w:afterAutospacing="0" w:line="360" w:lineRule="auto"/>
        <w:rPr>
          <w:sz w:val="23"/>
          <w:szCs w:val="23"/>
        </w:rPr>
      </w:pPr>
      <w:r>
        <w:rPr>
          <w:sz w:val="23"/>
          <w:szCs w:val="23"/>
        </w:rPr>
        <w:t>Балашов А.Н. Взаимодействие следователей и органов дознания при расследовании преступлений. Диссертация. М., 1993</w:t>
      </w:r>
    </w:p>
    <w:p w:rsidR="00045733" w:rsidRDefault="00045733">
      <w:pPr>
        <w:pStyle w:val="aa"/>
        <w:numPr>
          <w:ilvl w:val="0"/>
          <w:numId w:val="7"/>
        </w:numPr>
        <w:spacing w:before="0" w:beforeAutospacing="0" w:after="0" w:afterAutospacing="0" w:line="360" w:lineRule="auto"/>
        <w:rPr>
          <w:sz w:val="23"/>
          <w:szCs w:val="23"/>
        </w:rPr>
      </w:pPr>
      <w:r>
        <w:rPr>
          <w:sz w:val="23"/>
          <w:szCs w:val="23"/>
        </w:rPr>
        <w:t>Гайтынов В.Г., Рязанов В.Д., Федотов Г.И. Взаимодействие следователей с оперативными аппаратами</w:t>
      </w:r>
    </w:p>
    <w:p w:rsidR="00045733" w:rsidRDefault="00045733">
      <w:pPr>
        <w:pStyle w:val="aa"/>
        <w:numPr>
          <w:ilvl w:val="0"/>
          <w:numId w:val="7"/>
        </w:numPr>
        <w:spacing w:before="0" w:beforeAutospacing="0" w:after="0" w:afterAutospacing="0" w:line="360" w:lineRule="auto"/>
        <w:rPr>
          <w:sz w:val="23"/>
          <w:szCs w:val="23"/>
        </w:rPr>
      </w:pPr>
      <w:r>
        <w:rPr>
          <w:sz w:val="23"/>
          <w:szCs w:val="23"/>
        </w:rPr>
        <w:t>Герасимов И.Ф. Некоторые проблемы раскрытия преступлений. Свердловск, 1995</w:t>
      </w:r>
    </w:p>
    <w:p w:rsidR="00045733" w:rsidRDefault="00045733">
      <w:pPr>
        <w:pStyle w:val="aa"/>
        <w:spacing w:before="0" w:beforeAutospacing="0" w:after="0" w:afterAutospacing="0" w:line="360" w:lineRule="auto"/>
        <w:rPr>
          <w:b/>
          <w:bCs/>
          <w:sz w:val="23"/>
          <w:szCs w:val="23"/>
        </w:rPr>
      </w:pPr>
    </w:p>
    <w:p w:rsidR="00045733" w:rsidRDefault="00045733">
      <w:pPr>
        <w:pStyle w:val="aa"/>
        <w:numPr>
          <w:ilvl w:val="0"/>
          <w:numId w:val="7"/>
        </w:numPr>
        <w:spacing w:before="0" w:beforeAutospacing="0" w:after="0" w:afterAutospacing="0" w:line="360" w:lineRule="auto"/>
        <w:rPr>
          <w:sz w:val="23"/>
          <w:szCs w:val="23"/>
        </w:rPr>
      </w:pPr>
      <w:r>
        <w:rPr>
          <w:sz w:val="23"/>
          <w:szCs w:val="23"/>
        </w:rPr>
        <w:t>Закон об оперативной деятельности Эстонской</w:t>
      </w:r>
    </w:p>
    <w:p w:rsidR="00045733" w:rsidRDefault="00045733">
      <w:pPr>
        <w:pStyle w:val="aa"/>
        <w:numPr>
          <w:ilvl w:val="0"/>
          <w:numId w:val="7"/>
        </w:numPr>
        <w:spacing w:before="0" w:beforeAutospacing="0" w:after="0" w:afterAutospacing="0" w:line="360" w:lineRule="auto"/>
        <w:rPr>
          <w:sz w:val="23"/>
          <w:szCs w:val="23"/>
        </w:rPr>
      </w:pPr>
      <w:r>
        <w:rPr>
          <w:sz w:val="23"/>
          <w:szCs w:val="23"/>
        </w:rPr>
        <w:t>Материалы Всероссийской научно-практической конференции, 2004, Закирова Э.Ф., аспирантка кафедры уголовного процесса Удмуртского государственного университета</w:t>
      </w:r>
    </w:p>
    <w:p w:rsidR="00045733" w:rsidRDefault="00045733">
      <w:pPr>
        <w:pStyle w:val="aa"/>
        <w:numPr>
          <w:ilvl w:val="0"/>
          <w:numId w:val="7"/>
        </w:numPr>
        <w:spacing w:before="0" w:beforeAutospacing="0" w:after="0" w:afterAutospacing="0" w:line="360" w:lineRule="auto"/>
        <w:rPr>
          <w:sz w:val="23"/>
          <w:szCs w:val="23"/>
        </w:rPr>
      </w:pPr>
      <w:r>
        <w:rPr>
          <w:sz w:val="23"/>
          <w:szCs w:val="23"/>
        </w:rPr>
        <w:t>Патов Н.А. Процессуальные и организационные основы производства по уголовным делам, приостановленным в связи с неустановлением лица, подлежащего привлечению в качестве обвиняемого. Диссертация, М., 1997</w:t>
      </w:r>
    </w:p>
    <w:p w:rsidR="00045733" w:rsidRDefault="00045733">
      <w:pPr>
        <w:pStyle w:val="aa"/>
        <w:spacing w:before="0" w:beforeAutospacing="0" w:after="0" w:afterAutospacing="0" w:line="360" w:lineRule="auto"/>
        <w:ind w:left="360"/>
        <w:rPr>
          <w:sz w:val="23"/>
          <w:szCs w:val="23"/>
        </w:rPr>
      </w:pPr>
    </w:p>
    <w:p w:rsidR="00045733" w:rsidRDefault="00045733">
      <w:pPr>
        <w:pStyle w:val="aa"/>
        <w:spacing w:before="0" w:beforeAutospacing="0" w:after="0" w:afterAutospacing="0" w:line="360" w:lineRule="auto"/>
        <w:rPr>
          <w:sz w:val="23"/>
          <w:szCs w:val="23"/>
        </w:rPr>
      </w:pPr>
      <w:bookmarkStart w:id="0" w:name="_GoBack"/>
      <w:bookmarkEnd w:id="0"/>
    </w:p>
    <w:sectPr w:rsidR="0004573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33" w:rsidRDefault="00045733">
      <w:pPr>
        <w:spacing w:before="0" w:after="0"/>
      </w:pPr>
      <w:r>
        <w:separator/>
      </w:r>
    </w:p>
  </w:endnote>
  <w:endnote w:type="continuationSeparator" w:id="0">
    <w:p w:rsidR="00045733" w:rsidRDefault="000457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33" w:rsidRDefault="00045733">
      <w:pPr>
        <w:spacing w:before="0" w:after="0"/>
      </w:pPr>
      <w:r>
        <w:separator/>
      </w:r>
    </w:p>
  </w:footnote>
  <w:footnote w:type="continuationSeparator" w:id="0">
    <w:p w:rsidR="00045733" w:rsidRDefault="00045733">
      <w:pPr>
        <w:spacing w:before="0" w:after="0"/>
      </w:pPr>
      <w:r>
        <w:continuationSeparator/>
      </w:r>
    </w:p>
  </w:footnote>
  <w:footnote w:id="1">
    <w:p w:rsidR="00045733" w:rsidRDefault="00045733">
      <w:pPr>
        <w:pStyle w:val="a7"/>
      </w:pPr>
      <w:r>
        <w:rPr>
          <w:rStyle w:val="a9"/>
          <w:sz w:val="19"/>
          <w:szCs w:val="19"/>
        </w:rPr>
        <w:footnoteRef/>
      </w:r>
      <w:r>
        <w:rPr>
          <w:sz w:val="19"/>
          <w:szCs w:val="19"/>
        </w:rPr>
        <w:t xml:space="preserve"> </w:t>
      </w:r>
      <w:r>
        <w:rPr>
          <w:sz w:val="15"/>
          <w:szCs w:val="15"/>
        </w:rPr>
        <w:t>ЗАКОН ОБ ОПЕРАТИВНО-РОЗЫСКНОЙ ДЕЯТЕЛЬНОСТИ  ЭР</w:t>
      </w:r>
    </w:p>
  </w:footnote>
  <w:footnote w:id="2">
    <w:p w:rsidR="00045733" w:rsidRDefault="00045733">
      <w:pPr>
        <w:pStyle w:val="a7"/>
      </w:pPr>
      <w:r>
        <w:rPr>
          <w:rStyle w:val="a9"/>
          <w:sz w:val="19"/>
          <w:szCs w:val="19"/>
        </w:rPr>
        <w:footnoteRef/>
      </w:r>
      <w:r>
        <w:rPr>
          <w:sz w:val="19"/>
          <w:szCs w:val="19"/>
        </w:rPr>
        <w:t xml:space="preserve"> Герасимов И.Ф. Некоторые проблемы раскрытия преступлений. Свердловск, 1995</w:t>
      </w:r>
    </w:p>
  </w:footnote>
  <w:footnote w:id="3">
    <w:p w:rsidR="00045733" w:rsidRDefault="00045733">
      <w:pPr>
        <w:pStyle w:val="a7"/>
      </w:pPr>
      <w:r>
        <w:rPr>
          <w:rStyle w:val="a9"/>
          <w:sz w:val="19"/>
          <w:szCs w:val="19"/>
        </w:rPr>
        <w:footnoteRef/>
      </w:r>
      <w:r>
        <w:rPr>
          <w:sz w:val="19"/>
          <w:szCs w:val="19"/>
        </w:rPr>
        <w:t xml:space="preserve"> Балашов А.Н. Взаимодействие следователей и органов дознания при расследовании преступлений. Дисс. … канд. юрид. наук. М., 1973</w:t>
      </w:r>
    </w:p>
  </w:footnote>
  <w:footnote w:id="4">
    <w:p w:rsidR="00045733" w:rsidRDefault="00045733">
      <w:pPr>
        <w:pStyle w:val="a7"/>
      </w:pPr>
      <w:r>
        <w:rPr>
          <w:rStyle w:val="a9"/>
          <w:sz w:val="19"/>
          <w:szCs w:val="19"/>
        </w:rPr>
        <w:footnoteRef/>
      </w:r>
      <w:r>
        <w:rPr>
          <w:sz w:val="19"/>
          <w:szCs w:val="19"/>
        </w:rPr>
        <w:t xml:space="preserve"> Патов Н.А. Процессуальные и организационные основы производства по уголовным делам, приостановленным в связи с неустановлением лица, подлежащего привлечению в качестве обвиняемого. Дисс. … канд. юрид. наук. М., 1997.</w:t>
      </w:r>
    </w:p>
  </w:footnote>
  <w:footnote w:id="5">
    <w:p w:rsidR="00045733" w:rsidRDefault="00045733">
      <w:pPr>
        <w:pStyle w:val="a7"/>
      </w:pPr>
      <w:r>
        <w:rPr>
          <w:rStyle w:val="a9"/>
          <w:sz w:val="19"/>
          <w:szCs w:val="19"/>
        </w:rPr>
        <w:footnoteRef/>
      </w:r>
      <w:r>
        <w:rPr>
          <w:sz w:val="19"/>
          <w:szCs w:val="19"/>
        </w:rPr>
        <w:t xml:space="preserve"> Материалы Всероссийской научно-практической конференции, 2004, Закирова Э.Ф., аспирантка кафедры уголовного процесса Удмуртского государственного университета</w:t>
      </w:r>
    </w:p>
  </w:footnote>
  <w:footnote w:id="6">
    <w:p w:rsidR="00045733" w:rsidRDefault="00045733">
      <w:pPr>
        <w:pStyle w:val="a7"/>
      </w:pPr>
      <w:r>
        <w:rPr>
          <w:rStyle w:val="a9"/>
          <w:sz w:val="19"/>
          <w:szCs w:val="19"/>
        </w:rPr>
        <w:footnoteRef/>
      </w:r>
      <w:r>
        <w:rPr>
          <w:sz w:val="19"/>
          <w:szCs w:val="19"/>
        </w:rPr>
        <w:t xml:space="preserve"> Герасимов И.Ф. Некоторые проблемы раскрытия преступлений. Свердловск, 1995</w:t>
      </w:r>
    </w:p>
  </w:footnote>
  <w:footnote w:id="7">
    <w:p w:rsidR="00045733" w:rsidRDefault="00045733">
      <w:pPr>
        <w:pStyle w:val="a7"/>
      </w:pPr>
      <w:r>
        <w:rPr>
          <w:rStyle w:val="a9"/>
          <w:sz w:val="19"/>
          <w:szCs w:val="19"/>
        </w:rPr>
        <w:footnoteRef/>
      </w:r>
      <w:r>
        <w:rPr>
          <w:sz w:val="19"/>
          <w:szCs w:val="19"/>
        </w:rPr>
        <w:t xml:space="preserve"> Гайтынов В.Г., Рязанов В.Д., Федотов Г.И. Взаимодействие следователей с оперативными аппаратами в процессе раскрытия и расследования преступлений. - М., 1994.</w:t>
      </w:r>
    </w:p>
  </w:footnote>
  <w:footnote w:id="8">
    <w:p w:rsidR="00045733" w:rsidRDefault="00045733">
      <w:pPr>
        <w:pStyle w:val="a7"/>
      </w:pPr>
      <w:r>
        <w:rPr>
          <w:rStyle w:val="a9"/>
          <w:sz w:val="19"/>
          <w:szCs w:val="19"/>
        </w:rPr>
        <w:footnoteRef/>
      </w:r>
      <w:r>
        <w:rPr>
          <w:sz w:val="19"/>
          <w:szCs w:val="19"/>
        </w:rPr>
        <w:t xml:space="preserve"> Материалы Всероссийской научно-практической конференции, 2004, Закирова Э.Ф., аспирантка кафедры уголовного процесса Удмуртского государственного университета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33" w:rsidRDefault="00C95B7B">
    <w:pPr>
      <w:pStyle w:val="a4"/>
      <w:framePr w:wrap="auto" w:vAnchor="text" w:hAnchor="margin" w:xAlign="right" w:y="1"/>
      <w:rPr>
        <w:rStyle w:val="a6"/>
        <w:sz w:val="23"/>
        <w:szCs w:val="23"/>
      </w:rPr>
    </w:pPr>
    <w:r>
      <w:rPr>
        <w:rStyle w:val="a6"/>
        <w:noProof/>
        <w:sz w:val="23"/>
        <w:szCs w:val="23"/>
      </w:rPr>
      <w:t>3</w:t>
    </w:r>
  </w:p>
  <w:p w:rsidR="00045733" w:rsidRDefault="00045733">
    <w:pPr>
      <w:pStyle w:val="a4"/>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67C"/>
    <w:multiLevelType w:val="multilevel"/>
    <w:tmpl w:val="E0DE50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F06ECA"/>
    <w:multiLevelType w:val="hybridMultilevel"/>
    <w:tmpl w:val="F450588A"/>
    <w:lvl w:ilvl="0" w:tplc="A2FAD2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EC3B9F"/>
    <w:multiLevelType w:val="hybridMultilevel"/>
    <w:tmpl w:val="36C473B0"/>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46033D0"/>
    <w:multiLevelType w:val="hybridMultilevel"/>
    <w:tmpl w:val="499C6D64"/>
    <w:lvl w:ilvl="0" w:tplc="DA6E41F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E0F4027"/>
    <w:multiLevelType w:val="hybridMultilevel"/>
    <w:tmpl w:val="0A3860F6"/>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9D72228"/>
    <w:multiLevelType w:val="hybridMultilevel"/>
    <w:tmpl w:val="97565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9477BD"/>
    <w:multiLevelType w:val="hybridMultilevel"/>
    <w:tmpl w:val="64F69A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652348"/>
    <w:multiLevelType w:val="hybridMultilevel"/>
    <w:tmpl w:val="941A3868"/>
    <w:lvl w:ilvl="0" w:tplc="3D6A9D1C">
      <w:start w:val="1"/>
      <w:numFmt w:val="decimal"/>
      <w:lvlText w:val="%1."/>
      <w:lvlJc w:val="left"/>
      <w:pPr>
        <w:tabs>
          <w:tab w:val="num" w:pos="720"/>
        </w:tabs>
        <w:ind w:left="720" w:hanging="360"/>
      </w:pPr>
    </w:lvl>
    <w:lvl w:ilvl="1" w:tplc="AAF27BF0">
      <w:start w:val="1"/>
      <w:numFmt w:val="decimal"/>
      <w:lvlText w:val="%2."/>
      <w:lvlJc w:val="left"/>
      <w:pPr>
        <w:tabs>
          <w:tab w:val="num" w:pos="1440"/>
        </w:tabs>
        <w:ind w:left="1440" w:hanging="360"/>
      </w:pPr>
    </w:lvl>
    <w:lvl w:ilvl="2" w:tplc="45F438F4">
      <w:start w:val="1"/>
      <w:numFmt w:val="decimal"/>
      <w:lvlText w:val="%3."/>
      <w:lvlJc w:val="left"/>
      <w:pPr>
        <w:tabs>
          <w:tab w:val="num" w:pos="2160"/>
        </w:tabs>
        <w:ind w:left="2160" w:hanging="360"/>
      </w:pPr>
    </w:lvl>
    <w:lvl w:ilvl="3" w:tplc="4BF44BA2">
      <w:start w:val="1"/>
      <w:numFmt w:val="decimal"/>
      <w:lvlText w:val="%4."/>
      <w:lvlJc w:val="left"/>
      <w:pPr>
        <w:tabs>
          <w:tab w:val="num" w:pos="2880"/>
        </w:tabs>
        <w:ind w:left="2880" w:hanging="360"/>
      </w:pPr>
    </w:lvl>
    <w:lvl w:ilvl="4" w:tplc="F216CD34">
      <w:start w:val="1"/>
      <w:numFmt w:val="decimal"/>
      <w:lvlText w:val="%5."/>
      <w:lvlJc w:val="left"/>
      <w:pPr>
        <w:tabs>
          <w:tab w:val="num" w:pos="3600"/>
        </w:tabs>
        <w:ind w:left="3600" w:hanging="360"/>
      </w:pPr>
    </w:lvl>
    <w:lvl w:ilvl="5" w:tplc="00C28896">
      <w:start w:val="1"/>
      <w:numFmt w:val="decimal"/>
      <w:lvlText w:val="%6."/>
      <w:lvlJc w:val="left"/>
      <w:pPr>
        <w:tabs>
          <w:tab w:val="num" w:pos="4320"/>
        </w:tabs>
        <w:ind w:left="4320" w:hanging="360"/>
      </w:pPr>
    </w:lvl>
    <w:lvl w:ilvl="6" w:tplc="78C69FF8">
      <w:start w:val="1"/>
      <w:numFmt w:val="decimal"/>
      <w:lvlText w:val="%7."/>
      <w:lvlJc w:val="left"/>
      <w:pPr>
        <w:tabs>
          <w:tab w:val="num" w:pos="5040"/>
        </w:tabs>
        <w:ind w:left="5040" w:hanging="360"/>
      </w:pPr>
    </w:lvl>
    <w:lvl w:ilvl="7" w:tplc="89C82D0E">
      <w:start w:val="1"/>
      <w:numFmt w:val="decimal"/>
      <w:lvlText w:val="%8."/>
      <w:lvlJc w:val="left"/>
      <w:pPr>
        <w:tabs>
          <w:tab w:val="num" w:pos="5760"/>
        </w:tabs>
        <w:ind w:left="5760" w:hanging="360"/>
      </w:pPr>
    </w:lvl>
    <w:lvl w:ilvl="8" w:tplc="BD9EF0B0">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B7B"/>
    <w:rsid w:val="00045733"/>
    <w:rsid w:val="005252F5"/>
    <w:rsid w:val="00C95B7B"/>
    <w:rsid w:val="00FB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43E3A6-2F69-451E-B2AF-B5C23B0B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line="360" w:lineRule="auto"/>
      <w:outlineLvl w:val="0"/>
    </w:pPr>
    <w:rPr>
      <w:rFonts w:ascii="Arial" w:hAnsi="Arial" w:cs="Arial"/>
      <w:b/>
      <w:bCs/>
      <w:sz w:val="19"/>
      <w:szCs w:val="19"/>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название школы"/>
    <w:basedOn w:val="a"/>
    <w:uiPriority w:val="99"/>
    <w:pPr>
      <w:spacing w:before="0" w:after="0" w:line="360" w:lineRule="auto"/>
      <w:jc w:val="center"/>
    </w:pPr>
    <w:rPr>
      <w:b/>
      <w:bCs/>
      <w:caps/>
      <w:sz w:val="28"/>
      <w:szCs w:val="28"/>
      <w:lang w:val="et-EE"/>
    </w:rPr>
  </w:style>
  <w:style w:type="paragraph" w:customStyle="1" w:styleId="-">
    <w:name w:val="выполнил-проверил"/>
    <w:basedOn w:val="a"/>
    <w:uiPriority w:val="99"/>
    <w:pPr>
      <w:spacing w:before="0" w:after="0" w:line="360" w:lineRule="auto"/>
      <w:jc w:val="center"/>
    </w:pPr>
    <w:rPr>
      <w:rFonts w:ascii="Bookman Old Style" w:hAnsi="Bookman Old Style" w:cs="Bookman Old Style"/>
      <w:b/>
      <w:bCs/>
      <w:lang w:val="et-EE"/>
    </w:rPr>
  </w:style>
  <w:style w:type="paragraph" w:styleId="a4">
    <w:name w:val="header"/>
    <w:basedOn w:val="a"/>
    <w:link w:val="a5"/>
    <w:uiPriority w:val="99"/>
    <w:pPr>
      <w:tabs>
        <w:tab w:val="center" w:pos="4677"/>
        <w:tab w:val="right" w:pos="9355"/>
      </w:tabs>
      <w:spacing w:before="0" w:after="0"/>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note text"/>
    <w:basedOn w:val="a"/>
    <w:link w:val="a8"/>
    <w:uiPriority w:val="99"/>
    <w:pPr>
      <w:spacing w:before="0" w:after="0"/>
    </w:pPr>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Normal (Web)"/>
    <w:basedOn w:val="a"/>
    <w:uiPriority w:val="99"/>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Социально - гуманитарный  институт</vt:lpstr>
    </vt:vector>
  </TitlesOfParts>
  <Company>Кангеласте 17-18</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гуманитарный  институт</dc:title>
  <dc:subject/>
  <dc:creator>Майя</dc:creator>
  <cp:keywords/>
  <dc:description/>
  <cp:lastModifiedBy>admin</cp:lastModifiedBy>
  <cp:revision>2</cp:revision>
  <dcterms:created xsi:type="dcterms:W3CDTF">2014-03-07T14:25:00Z</dcterms:created>
  <dcterms:modified xsi:type="dcterms:W3CDTF">2014-03-07T14:25:00Z</dcterms:modified>
</cp:coreProperties>
</file>