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8C7" w:rsidRDefault="005E58C7">
      <w:pPr>
        <w:spacing w:line="360" w:lineRule="auto"/>
        <w:jc w:val="center"/>
        <w:rPr>
          <w:b/>
          <w:bCs/>
          <w:sz w:val="32"/>
        </w:rPr>
      </w:pPr>
    </w:p>
    <w:p w:rsidR="005E58C7" w:rsidRDefault="005E58C7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Взятие материала для лабораторного исследования на грибок.</w:t>
      </w:r>
    </w:p>
    <w:p w:rsidR="005E58C7" w:rsidRDefault="005E58C7">
      <w:pPr>
        <w:spacing w:line="360" w:lineRule="auto"/>
        <w:jc w:val="both"/>
      </w:pPr>
    </w:p>
    <w:p w:rsidR="005E58C7" w:rsidRDefault="005E58C7">
      <w:pPr>
        <w:spacing w:line="360" w:lineRule="auto"/>
        <w:jc w:val="both"/>
      </w:pPr>
      <w:r>
        <w:t>1.ОСТ  42-21-2-854: приказ № 222/80 от 27.06.00</w:t>
      </w:r>
    </w:p>
    <w:p w:rsidR="005E58C7" w:rsidRDefault="005E58C7">
      <w:pPr>
        <w:spacing w:line="360" w:lineRule="auto"/>
        <w:jc w:val="both"/>
      </w:pPr>
      <w:r>
        <w:t>2.</w:t>
      </w:r>
      <w:r>
        <w:rPr>
          <w:i/>
          <w:iCs/>
        </w:rPr>
        <w:t>Оснащение:</w:t>
      </w:r>
      <w:r>
        <w:t xml:space="preserve"> пинцет, предметные стекла, ножницы, ложка фолькмана.</w:t>
      </w:r>
    </w:p>
    <w:p w:rsidR="005E58C7" w:rsidRDefault="005E58C7">
      <w:pPr>
        <w:spacing w:line="360" w:lineRule="auto"/>
        <w:jc w:val="both"/>
      </w:pPr>
      <w:r>
        <w:t>4.</w:t>
      </w:r>
      <w:r>
        <w:rPr>
          <w:i/>
          <w:iCs/>
        </w:rPr>
        <w:t>Показания:</w:t>
      </w:r>
      <w:r>
        <w:t xml:space="preserve"> грибковые заболевания.</w:t>
      </w:r>
    </w:p>
    <w:p w:rsidR="005E58C7" w:rsidRDefault="005E58C7">
      <w:pPr>
        <w:spacing w:line="360" w:lineRule="auto"/>
        <w:jc w:val="both"/>
      </w:pPr>
      <w:r>
        <w:t>5</w:t>
      </w:r>
      <w:r>
        <w:rPr>
          <w:i/>
          <w:iCs/>
        </w:rPr>
        <w:t>.Осложнения</w:t>
      </w:r>
      <w:r>
        <w:t>: нет.</w:t>
      </w:r>
    </w:p>
    <w:p w:rsidR="005E58C7" w:rsidRDefault="005E58C7">
      <w:pPr>
        <w:spacing w:line="360" w:lineRule="auto"/>
        <w:jc w:val="both"/>
      </w:pPr>
    </w:p>
    <w:p w:rsidR="005E58C7" w:rsidRDefault="005E58C7">
      <w:pPr>
        <w:spacing w:line="360" w:lineRule="auto"/>
        <w:ind w:left="708" w:firstLine="708"/>
        <w:jc w:val="center"/>
        <w:rPr>
          <w:b/>
          <w:bCs/>
          <w:sz w:val="28"/>
        </w:rPr>
      </w:pPr>
      <w:r>
        <w:rPr>
          <w:b/>
          <w:bCs/>
          <w:sz w:val="28"/>
        </w:rPr>
        <w:t>Подготовка процедурного кабинета:</w:t>
      </w:r>
    </w:p>
    <w:p w:rsidR="005E58C7" w:rsidRDefault="005E58C7">
      <w:pPr>
        <w:spacing w:line="360" w:lineRule="auto"/>
        <w:jc w:val="both"/>
      </w:pPr>
    </w:p>
    <w:p w:rsidR="005E58C7" w:rsidRDefault="005E58C7">
      <w:pPr>
        <w:spacing w:line="360" w:lineRule="auto"/>
        <w:ind w:firstLine="708"/>
        <w:jc w:val="center"/>
        <w:rPr>
          <w:b/>
          <w:bCs/>
        </w:rPr>
      </w:pPr>
      <w:r>
        <w:rPr>
          <w:b/>
          <w:bCs/>
        </w:rPr>
        <w:t>Смена растворов.</w:t>
      </w:r>
    </w:p>
    <w:p w:rsidR="005E58C7" w:rsidRDefault="005E58C7">
      <w:pPr>
        <w:spacing w:line="360" w:lineRule="auto"/>
        <w:jc w:val="both"/>
      </w:pPr>
      <w:r>
        <w:tab/>
      </w:r>
    </w:p>
    <w:p w:rsidR="005E58C7" w:rsidRDefault="005E58C7">
      <w:pPr>
        <w:spacing w:line="360" w:lineRule="auto"/>
        <w:jc w:val="both"/>
        <w:rPr>
          <w:i/>
          <w:iCs/>
        </w:rPr>
      </w:pPr>
      <w:r>
        <w:tab/>
      </w:r>
      <w:r>
        <w:rPr>
          <w:i/>
          <w:iCs/>
        </w:rPr>
        <w:t>Приготовить:</w:t>
      </w:r>
    </w:p>
    <w:p w:rsidR="005E58C7" w:rsidRDefault="005E58C7">
      <w:pPr>
        <w:spacing w:line="360" w:lineRule="auto"/>
        <w:jc w:val="both"/>
      </w:pPr>
      <w:r>
        <w:t>-1%р-р хлорамина для ветоши</w:t>
      </w:r>
    </w:p>
    <w:p w:rsidR="005E58C7" w:rsidRDefault="005E58C7">
      <w:pPr>
        <w:spacing w:line="360" w:lineRule="auto"/>
        <w:jc w:val="both"/>
      </w:pPr>
      <w:r>
        <w:t>-3%р-р хлорамина – для дезинфекции перевязочного материала и пинцетов</w:t>
      </w:r>
    </w:p>
    <w:p w:rsidR="005E58C7" w:rsidRDefault="005E58C7">
      <w:pPr>
        <w:spacing w:line="360" w:lineRule="auto"/>
        <w:jc w:val="both"/>
      </w:pPr>
      <w:r>
        <w:t xml:space="preserve">- моющий р-р (156 мл. перекиси водорода + 5 г. моющего порошка + 839 мл. дисцилированной    </w:t>
      </w:r>
    </w:p>
    <w:p w:rsidR="005E58C7" w:rsidRDefault="005E58C7">
      <w:pPr>
        <w:spacing w:line="360" w:lineRule="auto"/>
        <w:jc w:val="both"/>
      </w:pPr>
      <w:r>
        <w:t xml:space="preserve">   воды) - для обработки пинцетов</w:t>
      </w:r>
    </w:p>
    <w:p w:rsidR="005E58C7" w:rsidRDefault="005E58C7">
      <w:pPr>
        <w:spacing w:line="360" w:lineRule="auto"/>
        <w:jc w:val="both"/>
      </w:pPr>
      <w:r>
        <w:t>-  6% р-р перекиси водорода – для обработки перчаток.</w:t>
      </w:r>
    </w:p>
    <w:p w:rsidR="005E58C7" w:rsidRDefault="005E58C7">
      <w:pPr>
        <w:spacing w:line="360" w:lineRule="auto"/>
        <w:jc w:val="both"/>
      </w:pPr>
    </w:p>
    <w:p w:rsidR="005E58C7" w:rsidRDefault="005E58C7">
      <w:pPr>
        <w:pStyle w:val="1"/>
        <w:spacing w:line="360" w:lineRule="auto"/>
        <w:jc w:val="center"/>
      </w:pPr>
      <w:r>
        <w:t>Влажная уборка кабинета.</w:t>
      </w:r>
    </w:p>
    <w:p w:rsidR="005E58C7" w:rsidRDefault="005E58C7">
      <w:pPr>
        <w:spacing w:line="360" w:lineRule="auto"/>
        <w:jc w:val="both"/>
      </w:pPr>
    </w:p>
    <w:p w:rsidR="005E58C7" w:rsidRDefault="005E58C7">
      <w:pPr>
        <w:spacing w:line="360" w:lineRule="auto"/>
        <w:jc w:val="both"/>
      </w:pPr>
      <w:r>
        <w:tab/>
        <w:t xml:space="preserve">Протирание ветошью смоченной 1% раствором хлорамина всех поверхностей мебели: начинают с кушеток, затем подоконники, тумбочки, столы, подставки для систем, валики. </w:t>
      </w:r>
    </w:p>
    <w:p w:rsidR="005E58C7" w:rsidRDefault="005E58C7">
      <w:pPr>
        <w:spacing w:line="360" w:lineRule="auto"/>
        <w:jc w:val="both"/>
      </w:pPr>
      <w:r>
        <w:tab/>
        <w:t>Пол моется с 1% раствором хлорамина. Включают кварцевые лампы на  30 мин., проветривание 35 мин.</w:t>
      </w:r>
    </w:p>
    <w:p w:rsidR="005E58C7" w:rsidRDefault="005E58C7">
      <w:pPr>
        <w:spacing w:line="360" w:lineRule="auto"/>
        <w:jc w:val="both"/>
      </w:pPr>
    </w:p>
    <w:p w:rsidR="005E58C7" w:rsidRDefault="005E58C7">
      <w:pPr>
        <w:spacing w:line="360" w:lineRule="auto"/>
        <w:jc w:val="center"/>
        <w:rPr>
          <w:b/>
          <w:bCs/>
        </w:rPr>
      </w:pPr>
      <w:r>
        <w:rPr>
          <w:b/>
          <w:bCs/>
        </w:rPr>
        <w:t>Обеззараживание рук и надевание перчаток.</w:t>
      </w:r>
    </w:p>
    <w:p w:rsidR="005E58C7" w:rsidRDefault="005E58C7">
      <w:pPr>
        <w:spacing w:line="360" w:lineRule="auto"/>
        <w:jc w:val="both"/>
        <w:rPr>
          <w:b/>
          <w:bCs/>
        </w:rPr>
      </w:pPr>
    </w:p>
    <w:p w:rsidR="005E58C7" w:rsidRDefault="005E58C7">
      <w:pPr>
        <w:pStyle w:val="a3"/>
        <w:spacing w:line="360" w:lineRule="auto"/>
      </w:pPr>
      <w:r>
        <w:t>Мытье рук с мылом проточной водой в течение 5 минут чистыми щетками. Проверьте наличие бирки на крышке бикса и металлические окошки на поясе натяжения (должны быть  закрыты). Проверьте дату стерилизации и наличие подписи ответственного  за стерилизацию. Откройте  крышку бикса с помощью санитарки. Проверь отсутствие влаги на внутренней поверхности крышки бикса. Достаньте стерильным пинцетом (взятым из бикса) индикаторную пробирку и отметьте изменения в ее цвете. Стерильным пинцетом извлеките полотенце и высушите ладонную, затем тыльную поверхность одной кисти, далее предплечья одной руки. Затем другим концом стерильного полотенца в той же последовательности высушите другую руку. Возьмите стерильным пинцетом шарики, смоченные 70% спиртом или 0,5% спиртовым раствором плевасепта и протрите им руки: каждую фалангу пальца к ладони со всех  сторон, ладонь с тыльной и внутренней поверхности по направлению от пальцев к предплечью, затем ногтевое ложе каждого пальца. Для каждой руки используйте отдельный стерильный шарик.  Стерильным пинцетом извлеките перчатки из бикса. Захватите четырьмя пальцами правой руки отвернутый край левой перчатки и натяните ее на левую руку и заправьте отвернутые края на халат, подвести пальцы левой руки, одетой в перчатку, под отворот тыльной поверхности правой перчатки, натяните ее на правую руку и заправьте отвернутые края на халат. Протрите перчатки шариком, смоченным 96% спиртовым или 0,5 % спиртовым раствором плевасепта.</w:t>
      </w:r>
    </w:p>
    <w:p w:rsidR="005E58C7" w:rsidRDefault="005E58C7">
      <w:pPr>
        <w:spacing w:line="360" w:lineRule="auto"/>
        <w:jc w:val="both"/>
      </w:pPr>
    </w:p>
    <w:p w:rsidR="005E58C7" w:rsidRDefault="005E58C7">
      <w:pPr>
        <w:spacing w:line="360" w:lineRule="auto"/>
        <w:jc w:val="center"/>
        <w:rPr>
          <w:b/>
          <w:bCs/>
        </w:rPr>
      </w:pPr>
      <w:r>
        <w:rPr>
          <w:b/>
          <w:bCs/>
        </w:rPr>
        <w:t>Алгоритм выполнения манипуляции.</w:t>
      </w:r>
    </w:p>
    <w:p w:rsidR="005E58C7" w:rsidRDefault="005E58C7">
      <w:pPr>
        <w:spacing w:line="360" w:lineRule="auto"/>
        <w:jc w:val="center"/>
      </w:pPr>
    </w:p>
    <w:p w:rsidR="005E58C7" w:rsidRDefault="005E58C7">
      <w:pPr>
        <w:spacing w:line="360" w:lineRule="auto"/>
        <w:jc w:val="both"/>
      </w:pPr>
      <w:r>
        <w:t>- нужно взять пинцет, предметное стекло, ложку фолькмана, ножницы;</w:t>
      </w:r>
    </w:p>
    <w:p w:rsidR="005E58C7" w:rsidRDefault="005E58C7">
      <w:pPr>
        <w:spacing w:line="360" w:lineRule="auto"/>
        <w:jc w:val="both"/>
      </w:pPr>
      <w:r>
        <w:t>- пациента пригласить в перевязочную;</w:t>
      </w:r>
    </w:p>
    <w:p w:rsidR="005E58C7" w:rsidRDefault="005E58C7">
      <w:pPr>
        <w:spacing w:line="360" w:lineRule="auto"/>
        <w:jc w:val="both"/>
      </w:pPr>
      <w:r>
        <w:t>- пациент сидит на стуле или кушетке;</w:t>
      </w:r>
    </w:p>
    <w:p w:rsidR="005E58C7" w:rsidRDefault="005E58C7">
      <w:pPr>
        <w:pStyle w:val="a3"/>
        <w:spacing w:line="360" w:lineRule="auto"/>
      </w:pPr>
      <w:r>
        <w:t>- м/с стоит.</w:t>
      </w:r>
    </w:p>
    <w:p w:rsidR="005E58C7" w:rsidRDefault="005E58C7">
      <w:pPr>
        <w:spacing w:line="360" w:lineRule="auto"/>
        <w:jc w:val="both"/>
      </w:pPr>
    </w:p>
    <w:p w:rsidR="005E58C7" w:rsidRDefault="005E58C7">
      <w:pPr>
        <w:spacing w:line="360" w:lineRule="auto"/>
        <w:jc w:val="center"/>
        <w:rPr>
          <w:b/>
          <w:bCs/>
        </w:rPr>
      </w:pPr>
      <w:r>
        <w:rPr>
          <w:b/>
          <w:bCs/>
        </w:rPr>
        <w:t>Техника выполнения:</w:t>
      </w:r>
    </w:p>
    <w:p w:rsidR="005E58C7" w:rsidRDefault="005E58C7">
      <w:pPr>
        <w:spacing w:line="360" w:lineRule="auto"/>
        <w:jc w:val="center"/>
      </w:pPr>
    </w:p>
    <w:p w:rsidR="005E58C7" w:rsidRDefault="005E58C7">
      <w:pPr>
        <w:spacing w:line="360" w:lineRule="auto"/>
        <w:jc w:val="both"/>
      </w:pPr>
      <w:r>
        <w:t>- из очага поражения пинцетом взять чешуйки кожи и волосы;</w:t>
      </w:r>
    </w:p>
    <w:p w:rsidR="005E58C7" w:rsidRDefault="005E58C7">
      <w:pPr>
        <w:spacing w:line="360" w:lineRule="auto"/>
        <w:jc w:val="both"/>
      </w:pPr>
      <w:r>
        <w:t>- взятый материал положить на предметное стекло и закрыть другим предметным стеклом.</w:t>
      </w:r>
    </w:p>
    <w:p w:rsidR="005E58C7" w:rsidRDefault="005E58C7">
      <w:pPr>
        <w:spacing w:line="360" w:lineRule="auto"/>
        <w:jc w:val="both"/>
      </w:pPr>
      <w:r>
        <w:t>- вымыть руки с мылом;</w:t>
      </w:r>
    </w:p>
    <w:p w:rsidR="005E58C7" w:rsidRDefault="005E58C7">
      <w:pPr>
        <w:spacing w:line="360" w:lineRule="auto"/>
        <w:jc w:val="both"/>
      </w:pPr>
      <w:r>
        <w:t>- взятый материал отправить в лабораторию.</w:t>
      </w:r>
    </w:p>
    <w:p w:rsidR="005E58C7" w:rsidRDefault="005E58C7">
      <w:pPr>
        <w:spacing w:line="360" w:lineRule="auto"/>
        <w:jc w:val="both"/>
      </w:pPr>
    </w:p>
    <w:p w:rsidR="005E58C7" w:rsidRDefault="005E58C7">
      <w:pPr>
        <w:spacing w:line="360" w:lineRule="auto"/>
        <w:jc w:val="both"/>
      </w:pPr>
    </w:p>
    <w:p w:rsidR="005E58C7" w:rsidRDefault="005E58C7">
      <w:pPr>
        <w:spacing w:line="360" w:lineRule="auto"/>
        <w:jc w:val="center"/>
        <w:rPr>
          <w:b/>
          <w:bCs/>
        </w:rPr>
      </w:pPr>
      <w:r>
        <w:rPr>
          <w:b/>
          <w:bCs/>
        </w:rPr>
        <w:t>Взятие ногтей на исследование.</w:t>
      </w:r>
    </w:p>
    <w:p w:rsidR="005E58C7" w:rsidRDefault="005E58C7">
      <w:pPr>
        <w:spacing w:line="360" w:lineRule="auto"/>
        <w:jc w:val="center"/>
      </w:pPr>
    </w:p>
    <w:p w:rsidR="005E58C7" w:rsidRDefault="005E58C7">
      <w:pPr>
        <w:spacing w:line="360" w:lineRule="auto"/>
        <w:jc w:val="both"/>
      </w:pPr>
      <w:r>
        <w:t>- взять ножницы и предметные стекла;</w:t>
      </w:r>
    </w:p>
    <w:p w:rsidR="005E58C7" w:rsidRDefault="005E58C7">
      <w:pPr>
        <w:spacing w:line="360" w:lineRule="auto"/>
        <w:jc w:val="both"/>
      </w:pPr>
      <w:r>
        <w:t>- ножницами отрезать кусочек от свободного края ногтя;</w:t>
      </w:r>
    </w:p>
    <w:p w:rsidR="005E58C7" w:rsidRDefault="005E58C7">
      <w:pPr>
        <w:spacing w:line="360" w:lineRule="auto"/>
        <w:jc w:val="both"/>
      </w:pPr>
      <w:r>
        <w:t>- взятый материал покрыть другим предметным стеклом;</w:t>
      </w:r>
    </w:p>
    <w:p w:rsidR="005E58C7" w:rsidRDefault="005E58C7">
      <w:pPr>
        <w:spacing w:line="360" w:lineRule="auto"/>
        <w:jc w:val="both"/>
      </w:pPr>
      <w:r>
        <w:t>- ножницы и пинцет замочить в 3% растворе формалина.</w:t>
      </w:r>
    </w:p>
    <w:p w:rsidR="005E58C7" w:rsidRDefault="005E58C7">
      <w:pPr>
        <w:spacing w:line="360" w:lineRule="auto"/>
        <w:jc w:val="both"/>
      </w:pPr>
      <w:bookmarkStart w:id="0" w:name="_GoBack"/>
      <w:bookmarkEnd w:id="0"/>
    </w:p>
    <w:sectPr w:rsidR="005E58C7">
      <w:pgSz w:w="11906" w:h="16838"/>
      <w:pgMar w:top="567" w:right="567" w:bottom="8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drawingGridHorizontalSpacing w:val="187"/>
  <w:displayVerticalDrawingGridEvery w:val="2"/>
  <w:noPunctuationKerning/>
  <w:characterSpacingControl w:val="doNotCompress"/>
  <w:compat>
    <w:useSingleBorderforContiguousCells/>
    <w:showBreaksInFrames/>
    <w:alignTablesRowByRow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DE0"/>
    <w:rsid w:val="00224FBC"/>
    <w:rsid w:val="005E58C7"/>
    <w:rsid w:val="007A4DE0"/>
    <w:rsid w:val="00C7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AD732-F8FD-485F-926B-7E13D682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Взятие материала для лабораторного исследования на грибок</vt:lpstr>
    </vt:vector>
  </TitlesOfParts>
  <Company>Дом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Взятие материала для лабораторного исследования на грибок</dc:title>
  <dc:subject/>
  <dc:creator>Чупахин Е.Н.</dc:creator>
  <cp:keywords/>
  <dc:description/>
  <cp:lastModifiedBy>admin</cp:lastModifiedBy>
  <cp:revision>2</cp:revision>
  <cp:lastPrinted>2001-10-22T20:40:00Z</cp:lastPrinted>
  <dcterms:created xsi:type="dcterms:W3CDTF">2014-02-07T07:33:00Z</dcterms:created>
  <dcterms:modified xsi:type="dcterms:W3CDTF">2014-02-07T07:33:00Z</dcterms:modified>
</cp:coreProperties>
</file>