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F28" w:rsidRDefault="00A01F28" w:rsidP="00BB4123">
      <w:pPr>
        <w:pStyle w:val="a6"/>
        <w:spacing w:line="360" w:lineRule="auto"/>
        <w:ind w:left="360"/>
        <w:rPr>
          <w:b/>
          <w:sz w:val="40"/>
          <w:szCs w:val="40"/>
        </w:rPr>
      </w:pPr>
    </w:p>
    <w:p w:rsidR="00BB4123" w:rsidRDefault="00BB4123" w:rsidP="00BB4123">
      <w:pPr>
        <w:pStyle w:val="a6"/>
        <w:spacing w:line="360" w:lineRule="auto"/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>Содержание:</w:t>
      </w:r>
    </w:p>
    <w:p w:rsidR="00BB4123" w:rsidRPr="00B81EB4" w:rsidRDefault="00BB4123" w:rsidP="00BB4123">
      <w:pPr>
        <w:pStyle w:val="a6"/>
        <w:numPr>
          <w:ilvl w:val="0"/>
          <w:numId w:val="3"/>
        </w:numPr>
        <w:spacing w:line="360" w:lineRule="auto"/>
        <w:rPr>
          <w:b/>
          <w:sz w:val="32"/>
          <w:szCs w:val="32"/>
        </w:rPr>
      </w:pPr>
      <w:r w:rsidRPr="00B81EB4">
        <w:rPr>
          <w:b/>
          <w:sz w:val="32"/>
          <w:szCs w:val="32"/>
        </w:rPr>
        <w:t>Ямайская валютная система</w:t>
      </w:r>
      <w:r w:rsidR="00B81EB4">
        <w:rPr>
          <w:b/>
          <w:sz w:val="32"/>
          <w:szCs w:val="32"/>
        </w:rPr>
        <w:t>………………………………..3</w:t>
      </w:r>
    </w:p>
    <w:p w:rsidR="00BB4123" w:rsidRPr="00B81EB4" w:rsidRDefault="00BB4123" w:rsidP="00BB4123">
      <w:pPr>
        <w:pStyle w:val="a6"/>
        <w:numPr>
          <w:ilvl w:val="0"/>
          <w:numId w:val="3"/>
        </w:numPr>
        <w:spacing w:line="360" w:lineRule="auto"/>
        <w:rPr>
          <w:b/>
          <w:sz w:val="32"/>
          <w:szCs w:val="32"/>
        </w:rPr>
      </w:pPr>
      <w:r w:rsidRPr="00B81EB4">
        <w:rPr>
          <w:b/>
          <w:sz w:val="32"/>
          <w:szCs w:val="32"/>
        </w:rPr>
        <w:t>Лизинг как форма кредитования аграр</w:t>
      </w:r>
      <w:r w:rsidR="00B81EB4" w:rsidRPr="00B81EB4">
        <w:rPr>
          <w:b/>
          <w:sz w:val="32"/>
          <w:szCs w:val="32"/>
        </w:rPr>
        <w:t>ного производства</w:t>
      </w:r>
      <w:r w:rsidR="00B81EB4">
        <w:rPr>
          <w:b/>
          <w:sz w:val="32"/>
          <w:szCs w:val="32"/>
        </w:rPr>
        <w:t>………………………………………………….5</w:t>
      </w:r>
    </w:p>
    <w:p w:rsidR="00B81EB4" w:rsidRPr="00B81EB4" w:rsidRDefault="00B81EB4" w:rsidP="00BB4123">
      <w:pPr>
        <w:pStyle w:val="a6"/>
        <w:numPr>
          <w:ilvl w:val="0"/>
          <w:numId w:val="3"/>
        </w:numPr>
        <w:spacing w:line="360" w:lineRule="auto"/>
        <w:rPr>
          <w:b/>
          <w:sz w:val="32"/>
          <w:szCs w:val="32"/>
        </w:rPr>
      </w:pPr>
      <w:r w:rsidRPr="00B81EB4">
        <w:rPr>
          <w:b/>
          <w:sz w:val="32"/>
          <w:szCs w:val="32"/>
        </w:rPr>
        <w:t>Банковские риски</w:t>
      </w:r>
      <w:r>
        <w:rPr>
          <w:b/>
          <w:sz w:val="32"/>
          <w:szCs w:val="32"/>
        </w:rPr>
        <w:t>…………………………………………...12</w:t>
      </w:r>
    </w:p>
    <w:p w:rsidR="00BB4123" w:rsidRDefault="00BB4123" w:rsidP="00BB4123">
      <w:pPr>
        <w:pStyle w:val="a6"/>
        <w:spacing w:line="360" w:lineRule="auto"/>
        <w:ind w:left="360"/>
        <w:rPr>
          <w:b/>
          <w:sz w:val="40"/>
          <w:szCs w:val="40"/>
        </w:rPr>
      </w:pPr>
    </w:p>
    <w:p w:rsidR="00BB4123" w:rsidRDefault="00BB4123" w:rsidP="00BB4123">
      <w:pPr>
        <w:pStyle w:val="a6"/>
        <w:spacing w:line="360" w:lineRule="auto"/>
        <w:ind w:left="360"/>
        <w:rPr>
          <w:b/>
          <w:sz w:val="40"/>
          <w:szCs w:val="40"/>
        </w:rPr>
      </w:pPr>
    </w:p>
    <w:p w:rsidR="00BB4123" w:rsidRDefault="00BB4123" w:rsidP="00BB4123">
      <w:pPr>
        <w:pStyle w:val="a6"/>
        <w:spacing w:line="360" w:lineRule="auto"/>
        <w:ind w:left="360"/>
        <w:rPr>
          <w:b/>
          <w:sz w:val="40"/>
          <w:szCs w:val="40"/>
        </w:rPr>
      </w:pPr>
    </w:p>
    <w:p w:rsidR="00BB4123" w:rsidRDefault="00BB4123" w:rsidP="00BB4123">
      <w:pPr>
        <w:pStyle w:val="a6"/>
        <w:spacing w:line="360" w:lineRule="auto"/>
        <w:ind w:left="360"/>
        <w:rPr>
          <w:b/>
          <w:sz w:val="40"/>
          <w:szCs w:val="40"/>
        </w:rPr>
      </w:pPr>
    </w:p>
    <w:p w:rsidR="00BB4123" w:rsidRDefault="00BB4123" w:rsidP="00BB4123">
      <w:pPr>
        <w:pStyle w:val="a6"/>
        <w:spacing w:line="360" w:lineRule="auto"/>
        <w:ind w:left="360"/>
        <w:rPr>
          <w:b/>
          <w:sz w:val="40"/>
          <w:szCs w:val="40"/>
        </w:rPr>
      </w:pPr>
    </w:p>
    <w:p w:rsidR="00BB4123" w:rsidRDefault="00BB4123" w:rsidP="00BB4123">
      <w:pPr>
        <w:pStyle w:val="a6"/>
        <w:spacing w:line="360" w:lineRule="auto"/>
        <w:ind w:left="360"/>
        <w:rPr>
          <w:b/>
          <w:sz w:val="40"/>
          <w:szCs w:val="40"/>
        </w:rPr>
      </w:pPr>
    </w:p>
    <w:p w:rsidR="00BB4123" w:rsidRDefault="00BB4123" w:rsidP="00BB4123">
      <w:pPr>
        <w:pStyle w:val="a6"/>
        <w:spacing w:line="360" w:lineRule="auto"/>
        <w:ind w:left="360"/>
        <w:rPr>
          <w:b/>
          <w:sz w:val="40"/>
          <w:szCs w:val="40"/>
        </w:rPr>
      </w:pPr>
    </w:p>
    <w:p w:rsidR="00BB4123" w:rsidRDefault="00BB4123" w:rsidP="00BB4123">
      <w:pPr>
        <w:pStyle w:val="a6"/>
        <w:spacing w:line="360" w:lineRule="auto"/>
        <w:ind w:left="360"/>
        <w:rPr>
          <w:b/>
          <w:sz w:val="40"/>
          <w:szCs w:val="40"/>
        </w:rPr>
      </w:pPr>
    </w:p>
    <w:p w:rsidR="00BB4123" w:rsidRDefault="00BB4123" w:rsidP="00BB4123">
      <w:pPr>
        <w:pStyle w:val="a6"/>
        <w:spacing w:line="360" w:lineRule="auto"/>
        <w:ind w:left="360"/>
        <w:rPr>
          <w:b/>
          <w:sz w:val="40"/>
          <w:szCs w:val="40"/>
        </w:rPr>
      </w:pPr>
    </w:p>
    <w:p w:rsidR="00BB4123" w:rsidRDefault="00BB4123" w:rsidP="00BB4123">
      <w:pPr>
        <w:pStyle w:val="a6"/>
        <w:spacing w:line="360" w:lineRule="auto"/>
        <w:ind w:left="360"/>
        <w:rPr>
          <w:b/>
          <w:sz w:val="40"/>
          <w:szCs w:val="40"/>
        </w:rPr>
      </w:pPr>
    </w:p>
    <w:p w:rsidR="00BB4123" w:rsidRDefault="00BB4123" w:rsidP="00BB4123">
      <w:pPr>
        <w:pStyle w:val="a6"/>
        <w:spacing w:line="360" w:lineRule="auto"/>
        <w:ind w:left="360"/>
        <w:rPr>
          <w:b/>
          <w:sz w:val="40"/>
          <w:szCs w:val="40"/>
        </w:rPr>
      </w:pPr>
    </w:p>
    <w:p w:rsidR="00BB4123" w:rsidRDefault="00BB4123" w:rsidP="00BB4123">
      <w:pPr>
        <w:pStyle w:val="a6"/>
        <w:spacing w:line="360" w:lineRule="auto"/>
        <w:ind w:left="360"/>
        <w:rPr>
          <w:b/>
          <w:sz w:val="40"/>
          <w:szCs w:val="40"/>
        </w:rPr>
      </w:pPr>
    </w:p>
    <w:p w:rsidR="00BB4123" w:rsidRDefault="00BB4123" w:rsidP="00BB4123">
      <w:pPr>
        <w:pStyle w:val="a6"/>
        <w:spacing w:line="360" w:lineRule="auto"/>
        <w:ind w:left="360"/>
        <w:rPr>
          <w:b/>
          <w:sz w:val="40"/>
          <w:szCs w:val="40"/>
        </w:rPr>
      </w:pPr>
    </w:p>
    <w:p w:rsidR="00BB4123" w:rsidRDefault="00BB4123" w:rsidP="00BB4123">
      <w:pPr>
        <w:pStyle w:val="a6"/>
        <w:spacing w:line="360" w:lineRule="auto"/>
        <w:ind w:left="360"/>
        <w:rPr>
          <w:b/>
          <w:sz w:val="40"/>
          <w:szCs w:val="40"/>
        </w:rPr>
      </w:pPr>
    </w:p>
    <w:p w:rsidR="00BB4123" w:rsidRDefault="00BB4123" w:rsidP="00BB4123">
      <w:pPr>
        <w:pStyle w:val="a6"/>
        <w:spacing w:line="360" w:lineRule="auto"/>
        <w:ind w:left="360"/>
        <w:rPr>
          <w:b/>
          <w:sz w:val="40"/>
          <w:szCs w:val="40"/>
        </w:rPr>
      </w:pPr>
    </w:p>
    <w:p w:rsidR="00BB4123" w:rsidRDefault="00BB4123" w:rsidP="00BB4123">
      <w:pPr>
        <w:pStyle w:val="a6"/>
        <w:spacing w:line="360" w:lineRule="auto"/>
        <w:ind w:left="360"/>
        <w:rPr>
          <w:b/>
          <w:sz w:val="40"/>
          <w:szCs w:val="40"/>
        </w:rPr>
      </w:pPr>
    </w:p>
    <w:p w:rsidR="00BB4123" w:rsidRPr="00B81EB4" w:rsidRDefault="00BB4123" w:rsidP="00B81EB4">
      <w:pPr>
        <w:spacing w:line="360" w:lineRule="auto"/>
        <w:rPr>
          <w:b/>
          <w:sz w:val="40"/>
          <w:szCs w:val="40"/>
        </w:rPr>
      </w:pPr>
    </w:p>
    <w:p w:rsidR="00BB4123" w:rsidRPr="00BB4123" w:rsidRDefault="00BB4123" w:rsidP="00BB4123">
      <w:pPr>
        <w:pStyle w:val="a6"/>
        <w:numPr>
          <w:ilvl w:val="0"/>
          <w:numId w:val="2"/>
        </w:numPr>
        <w:spacing w:line="360" w:lineRule="auto"/>
        <w:jc w:val="center"/>
        <w:rPr>
          <w:b/>
          <w:sz w:val="40"/>
          <w:szCs w:val="40"/>
        </w:rPr>
      </w:pPr>
      <w:r w:rsidRPr="00BB4123">
        <w:rPr>
          <w:b/>
          <w:sz w:val="40"/>
          <w:szCs w:val="40"/>
        </w:rPr>
        <w:t>Ямайская валютная система</w:t>
      </w:r>
    </w:p>
    <w:p w:rsidR="00137B87" w:rsidRPr="001B2D18" w:rsidRDefault="00137B87" w:rsidP="001B2D18">
      <w:pPr>
        <w:spacing w:line="360" w:lineRule="auto"/>
        <w:jc w:val="both"/>
        <w:rPr>
          <w:sz w:val="28"/>
          <w:szCs w:val="28"/>
        </w:rPr>
      </w:pPr>
      <w:r w:rsidRPr="001B2D18">
        <w:rPr>
          <w:sz w:val="28"/>
          <w:szCs w:val="28"/>
        </w:rPr>
        <w:t xml:space="preserve">ЯМАЙСКАЯ ВАЛЮТНАЯ СИСТЕМА - современная международная валютная система, базирующаяся не на валютных системах отдельных стран (в том числе США), а на законодательно закрепленных межгосударственных принципах. В основу Ямайской валютной системы положен принцип полного отказа от золотого стандарта. Теперь ни одна валюта не может иметь золотого содержания; все золотые запасы стран и международных валютно-финансовых институтов заморожены. Одновременно введен новый вид международных платежных средств </w:t>
      </w:r>
      <w:r w:rsidR="001B2D18">
        <w:rPr>
          <w:sz w:val="28"/>
          <w:szCs w:val="28"/>
        </w:rPr>
        <w:t>–</w:t>
      </w:r>
      <w:r w:rsidRPr="001B2D18">
        <w:rPr>
          <w:sz w:val="28"/>
          <w:szCs w:val="28"/>
        </w:rPr>
        <w:t>СДР</w:t>
      </w:r>
      <w:r w:rsidR="001B2D18">
        <w:rPr>
          <w:sz w:val="28"/>
          <w:szCs w:val="28"/>
        </w:rPr>
        <w:t>(специальные права замистителя)</w:t>
      </w:r>
      <w:r w:rsidRPr="001B2D18">
        <w:rPr>
          <w:sz w:val="28"/>
          <w:szCs w:val="28"/>
        </w:rPr>
        <w:t>, используемый для безналичных международных расчетов путем записей на специальных счетах и в качестве расчетной единицы Международного валютного фонда. Все страны - участники Ямайского соглашения перешли от фиксированных валютных курсов, в основе которых лежало золотое содержание валют, к плавающим валютным курсам - свободно изменяющимся в определенных пределах под воздействием спроса и предложения на валютных рынках. Рынок золота из основного денежного рынка превратился в разновидность товарного рынка. Механизм действия современной валютной системы может быть представлен следующим образом. Страны - члены Международного валютного фонда получили определенную долю СДР в соответствии с долями в основном капитале фонда. СДР функционируют только как расчетные единицы; при определенных условиях они могут быть обращены в национальную валюту. С 1 января 1981 г. МВФ использует упрощенную котировку СДР на основе средневзвешенного курса валютной корзины, состоящей из следующих валют: доллар США - 42 %, немецкая марка - 19%, французский франк, английский фунт стерлингов, японская иена - по 13%. Удельные веса валют определены в соответствии с удельным весом валют в международной торговле и платежах. В силу разной устойчивости валют, а также региональных интересов на практике в настоящее время действуют 3 основных вида валют и валютных курсов:</w:t>
      </w:r>
    </w:p>
    <w:p w:rsidR="00137B87" w:rsidRPr="001B2D18" w:rsidRDefault="00137B87" w:rsidP="001B2D18">
      <w:pPr>
        <w:spacing w:line="360" w:lineRule="auto"/>
        <w:jc w:val="both"/>
        <w:rPr>
          <w:sz w:val="28"/>
          <w:szCs w:val="28"/>
        </w:rPr>
      </w:pPr>
    </w:p>
    <w:p w:rsidR="00137B87" w:rsidRPr="001B2D18" w:rsidRDefault="00137B87" w:rsidP="001B2D18">
      <w:pPr>
        <w:spacing w:line="360" w:lineRule="auto"/>
        <w:jc w:val="both"/>
        <w:rPr>
          <w:sz w:val="28"/>
          <w:szCs w:val="28"/>
        </w:rPr>
      </w:pPr>
      <w:r w:rsidRPr="001B2D18">
        <w:rPr>
          <w:sz w:val="28"/>
          <w:szCs w:val="28"/>
        </w:rPr>
        <w:t>1) валюты, которые твердо привязаны к одной или нескольким валютам. Допускается колебание валютного курса ± 1 %. Если национальная валюта привязана к группе валют, то это означает, что выбрана некая "корзина валют" или в качестве основы для установления курса используется СДР;</w:t>
      </w:r>
    </w:p>
    <w:p w:rsidR="00137B87" w:rsidRPr="001B2D18" w:rsidRDefault="00137B87" w:rsidP="001B2D18">
      <w:pPr>
        <w:spacing w:line="360" w:lineRule="auto"/>
        <w:jc w:val="both"/>
        <w:rPr>
          <w:sz w:val="28"/>
          <w:szCs w:val="28"/>
        </w:rPr>
      </w:pPr>
      <w:r w:rsidRPr="001B2D18">
        <w:rPr>
          <w:sz w:val="28"/>
          <w:szCs w:val="28"/>
        </w:rPr>
        <w:t>2) валюты, курс которых может колебаться относительно одной или нескольких валют в пределах ± 2,25 %. В эту же группу попадает и ЭКЮ</w:t>
      </w:r>
      <w:r w:rsidR="001B2D18">
        <w:rPr>
          <w:sz w:val="28"/>
          <w:szCs w:val="28"/>
        </w:rPr>
        <w:t>(</w:t>
      </w:r>
      <w:r w:rsidR="001B2D18" w:rsidRPr="001B2D18">
        <w:rPr>
          <w:sz w:val="28"/>
          <w:szCs w:val="28"/>
        </w:rPr>
        <w:t>европейская валютная единица</w:t>
      </w:r>
      <w:r w:rsidR="001B2D18">
        <w:rPr>
          <w:sz w:val="28"/>
          <w:szCs w:val="28"/>
        </w:rPr>
        <w:t>)</w:t>
      </w:r>
      <w:r w:rsidRPr="001B2D18">
        <w:rPr>
          <w:sz w:val="28"/>
          <w:szCs w:val="28"/>
        </w:rPr>
        <w:t xml:space="preserve"> как средство, обеспечивающее валютную стабильность стран, входящих в Европейское экономическое сообщество. Таким образом, страны ЕЭС сохраняют свои валюты по отношению друг к другу в твердо определенном соотношении, а все вместе они "плавают" по отношению к валютам третьих стран;</w:t>
      </w:r>
    </w:p>
    <w:p w:rsidR="00137B87" w:rsidRDefault="00137B87" w:rsidP="001B2D18">
      <w:pPr>
        <w:spacing w:line="360" w:lineRule="auto"/>
        <w:jc w:val="both"/>
        <w:rPr>
          <w:sz w:val="28"/>
          <w:szCs w:val="28"/>
        </w:rPr>
      </w:pPr>
      <w:r w:rsidRPr="001B2D18">
        <w:rPr>
          <w:sz w:val="28"/>
          <w:szCs w:val="28"/>
        </w:rPr>
        <w:t>3) валюты со свободно плавающим курсом. Курс валют устанавливается ежедневно в зависимости от спроса и предложения на валютных рынках</w:t>
      </w:r>
      <w:r w:rsidR="001B2D18">
        <w:rPr>
          <w:sz w:val="28"/>
          <w:szCs w:val="28"/>
        </w:rPr>
        <w:t>.</w:t>
      </w:r>
    </w:p>
    <w:p w:rsidR="00BB4123" w:rsidRDefault="00BB4123" w:rsidP="001B2D18">
      <w:pPr>
        <w:spacing w:line="360" w:lineRule="auto"/>
        <w:jc w:val="both"/>
        <w:rPr>
          <w:b/>
          <w:sz w:val="28"/>
          <w:szCs w:val="28"/>
        </w:rPr>
      </w:pPr>
    </w:p>
    <w:p w:rsidR="00137B87" w:rsidRDefault="00AF111B" w:rsidP="00137B8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7.25pt;height:351pt;visibility:visible">
            <v:imagedata r:id="rId7" o:title=""/>
          </v:shape>
        </w:pict>
      </w:r>
    </w:p>
    <w:p w:rsidR="00137B87" w:rsidRPr="00BB4123" w:rsidRDefault="00BB4123" w:rsidP="00B81EB4">
      <w:pPr>
        <w:spacing w:line="360" w:lineRule="auto"/>
        <w:jc w:val="center"/>
        <w:rPr>
          <w:b/>
          <w:sz w:val="40"/>
          <w:szCs w:val="40"/>
        </w:rPr>
      </w:pPr>
      <w:r w:rsidRPr="00BB4123">
        <w:rPr>
          <w:b/>
          <w:sz w:val="40"/>
          <w:szCs w:val="40"/>
        </w:rPr>
        <w:t xml:space="preserve">2. </w:t>
      </w:r>
      <w:r w:rsidR="00137B87" w:rsidRPr="00BB4123">
        <w:rPr>
          <w:b/>
          <w:sz w:val="40"/>
          <w:szCs w:val="40"/>
        </w:rPr>
        <w:t>Лизинг как форма кредитования агробизнеса</w:t>
      </w: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  <w:r w:rsidRPr="00700081">
        <w:rPr>
          <w:sz w:val="28"/>
          <w:szCs w:val="28"/>
        </w:rPr>
        <w:t>Исследования особенностей предприяти</w:t>
      </w:r>
      <w:r w:rsidR="00B81EB4">
        <w:rPr>
          <w:sz w:val="28"/>
          <w:szCs w:val="28"/>
        </w:rPr>
        <w:t>й</w:t>
      </w:r>
      <w:r w:rsidRPr="00700081">
        <w:rPr>
          <w:sz w:val="28"/>
          <w:szCs w:val="28"/>
        </w:rPr>
        <w:t xml:space="preserve"> в сельском хозяйстве позволило выделить лизинг как наиболее перспективный вариант кредитования. Преимущества лизинга в сельском хозяйстве состоит в том, что он не исключает, а даже предполагает различные формы государственного регулирования. С помощью лизинга можно преодолеть в некоторой мере и монополизм производителей сельскохозяйственных машин за счет использования других источников получения техники: импорта, восстановления изношенных деталей, многократного использования разными потребителями. Кроме того, лизинг расширяет доступ к дорогостоящим машинам, снижает время хозяйств по содержанию собственного парка машин, особенно сезонного использования, и сопровождается фирменным сервисом. Особенности лизинга для субъектов малого предпринимательства представлены в табл. </w:t>
      </w:r>
      <w:r w:rsidR="0096061A">
        <w:rPr>
          <w:sz w:val="28"/>
          <w:szCs w:val="28"/>
        </w:rPr>
        <w:t>1</w:t>
      </w:r>
      <w:r w:rsidRPr="00700081">
        <w:rPr>
          <w:sz w:val="28"/>
          <w:szCs w:val="28"/>
        </w:rPr>
        <w:t xml:space="preserve">. </w:t>
      </w: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</w:p>
    <w:p w:rsidR="00137B87" w:rsidRPr="00BB4123" w:rsidRDefault="00137B87" w:rsidP="00700081">
      <w:pPr>
        <w:spacing w:line="360" w:lineRule="auto"/>
        <w:jc w:val="both"/>
        <w:rPr>
          <w:b/>
          <w:i/>
          <w:sz w:val="28"/>
          <w:szCs w:val="28"/>
        </w:rPr>
      </w:pPr>
      <w:r w:rsidRPr="00BB4123">
        <w:rPr>
          <w:b/>
          <w:i/>
          <w:sz w:val="28"/>
          <w:szCs w:val="28"/>
        </w:rPr>
        <w:t xml:space="preserve">Таблица </w:t>
      </w:r>
      <w:r w:rsidR="0096061A" w:rsidRPr="00BB4123">
        <w:rPr>
          <w:b/>
          <w:i/>
          <w:sz w:val="28"/>
          <w:szCs w:val="28"/>
        </w:rPr>
        <w:t>1</w:t>
      </w:r>
      <w:r w:rsidRPr="00BB4123">
        <w:rPr>
          <w:b/>
          <w:i/>
          <w:sz w:val="28"/>
          <w:szCs w:val="28"/>
        </w:rPr>
        <w:t xml:space="preserve"> </w:t>
      </w:r>
    </w:p>
    <w:p w:rsidR="00137B87" w:rsidRPr="0096061A" w:rsidRDefault="00137B87" w:rsidP="00700081">
      <w:pPr>
        <w:spacing w:line="360" w:lineRule="auto"/>
        <w:jc w:val="both"/>
        <w:rPr>
          <w:b/>
          <w:sz w:val="28"/>
          <w:szCs w:val="28"/>
        </w:rPr>
      </w:pPr>
    </w:p>
    <w:p w:rsidR="00137B87" w:rsidRDefault="00137B87" w:rsidP="00BB4123">
      <w:pPr>
        <w:spacing w:line="360" w:lineRule="auto"/>
        <w:jc w:val="center"/>
        <w:rPr>
          <w:b/>
          <w:sz w:val="28"/>
          <w:szCs w:val="28"/>
        </w:rPr>
      </w:pPr>
      <w:r w:rsidRPr="0096061A">
        <w:rPr>
          <w:b/>
          <w:sz w:val="28"/>
          <w:szCs w:val="28"/>
        </w:rPr>
        <w:t xml:space="preserve">Особенности лизинговых операций для субъектов </w:t>
      </w:r>
      <w:r w:rsidR="00B81EB4">
        <w:rPr>
          <w:b/>
          <w:sz w:val="28"/>
          <w:szCs w:val="28"/>
        </w:rPr>
        <w:t xml:space="preserve">аграрного </w:t>
      </w:r>
      <w:r w:rsidRPr="0096061A">
        <w:rPr>
          <w:b/>
          <w:sz w:val="28"/>
          <w:szCs w:val="28"/>
        </w:rPr>
        <w:t>предпринимательства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96061A" w:rsidRPr="00B81EB4" w:rsidTr="00B81EB4">
        <w:tc>
          <w:tcPr>
            <w:tcW w:w="3085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Предпосылки использования</w:t>
            </w:r>
          </w:p>
        </w:tc>
        <w:tc>
          <w:tcPr>
            <w:tcW w:w="6486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 xml:space="preserve">Необходимость снижения первоначального капитала. </w:t>
            </w:r>
          </w:p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 xml:space="preserve">Расширение возможностей использования внешних источников финансирования </w:t>
            </w:r>
          </w:p>
          <w:p w:rsidR="0096061A" w:rsidRPr="00B81EB4" w:rsidRDefault="0096061A" w:rsidP="00B81EB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6061A" w:rsidRPr="00B81EB4" w:rsidTr="00B81EB4">
        <w:tc>
          <w:tcPr>
            <w:tcW w:w="3085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 xml:space="preserve">Интересы коммерческих структур </w:t>
            </w:r>
            <w:r w:rsidRPr="00B81EB4">
              <w:rPr>
                <w:sz w:val="28"/>
                <w:szCs w:val="28"/>
              </w:rPr>
              <w:tab/>
            </w:r>
          </w:p>
          <w:p w:rsidR="0096061A" w:rsidRPr="00B81EB4" w:rsidRDefault="0096061A" w:rsidP="00B81EB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86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 xml:space="preserve">Обеспечение возврата основной части кредита в виде передаваемого в лизинг оборудования. Снижение риска </w:t>
            </w:r>
          </w:p>
          <w:p w:rsidR="0096061A" w:rsidRPr="00B81EB4" w:rsidRDefault="0096061A" w:rsidP="00B81EB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6061A" w:rsidRPr="00B81EB4" w:rsidTr="00B81EB4">
        <w:tc>
          <w:tcPr>
            <w:tcW w:w="3085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 xml:space="preserve">Интересы </w:t>
            </w:r>
            <w:r w:rsidR="00BB4123" w:rsidRPr="00B81EB4">
              <w:rPr>
                <w:sz w:val="28"/>
                <w:szCs w:val="28"/>
              </w:rPr>
              <w:t>агро</w:t>
            </w:r>
            <w:r w:rsidRPr="00B81EB4">
              <w:rPr>
                <w:sz w:val="28"/>
                <w:szCs w:val="28"/>
              </w:rPr>
              <w:t>бизнеса</w:t>
            </w:r>
          </w:p>
        </w:tc>
        <w:tc>
          <w:tcPr>
            <w:tcW w:w="6486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 xml:space="preserve">Лизингополучатель освобождается от единовременной оплаты стоимости оборудования, что позволяет ему сделать нужный выбор, даже в случае кредитных ограничений и невозможности привлечения заемных средств. </w:t>
            </w:r>
          </w:p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 xml:space="preserve">Лизинг расширяет каналы по привлечению средств, сужает сферу использования долгосрочного кредита и расширяет привлечение заемных источников. </w:t>
            </w:r>
          </w:p>
          <w:p w:rsidR="00BB4123" w:rsidRPr="00B81EB4" w:rsidRDefault="00BB4123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 xml:space="preserve">Снижение суммы гарантий. </w:t>
            </w:r>
          </w:p>
          <w:p w:rsidR="00BB4123" w:rsidRPr="00B81EB4" w:rsidRDefault="00BB4123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B4123" w:rsidRPr="00B81EB4" w:rsidRDefault="00BB4123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 xml:space="preserve">Снижение минимального начального капитала. </w:t>
            </w:r>
          </w:p>
          <w:p w:rsidR="00BB4123" w:rsidRPr="00B81EB4" w:rsidRDefault="00BB4123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B4123" w:rsidRPr="00B81EB4" w:rsidRDefault="00BB4123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 xml:space="preserve">Кроме финансовой функции лизинг имеет также производственную, являясь наиболее прогрессивным методом материально-технического обеспечения производства, в том числе и передовой техникой. </w:t>
            </w:r>
          </w:p>
          <w:p w:rsidR="00BB4123" w:rsidRPr="00B81EB4" w:rsidRDefault="00BB4123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B4123" w:rsidRPr="00B81EB4" w:rsidRDefault="00BB4123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 xml:space="preserve">Лизингополучатель имеет возможность приобрести необходимый набор услуг: от технического обслуживания до услуг по страхованию, маркетингу и т.д. </w:t>
            </w:r>
          </w:p>
          <w:p w:rsidR="00BB4123" w:rsidRPr="00B81EB4" w:rsidRDefault="00BB4123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B4123" w:rsidRPr="00B81EB4" w:rsidRDefault="00BB4123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 xml:space="preserve">Агробизнес имеет дело со специализированными лизинговыми компаниями, имеющими возможность добиваться от производителей более благоприятных цен на производимое ими оборудование </w:t>
            </w:r>
          </w:p>
          <w:p w:rsidR="0096061A" w:rsidRPr="00B81EB4" w:rsidRDefault="0096061A" w:rsidP="00B81EB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6061A" w:rsidRPr="00B81EB4" w:rsidTr="00B81EB4">
        <w:tc>
          <w:tcPr>
            <w:tcW w:w="3085" w:type="dxa"/>
          </w:tcPr>
          <w:p w:rsidR="0096061A" w:rsidRPr="00B81EB4" w:rsidRDefault="00BB4123" w:rsidP="00B81EB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Недостатки для агробизнеса</w:t>
            </w:r>
          </w:p>
        </w:tc>
        <w:tc>
          <w:tcPr>
            <w:tcW w:w="6486" w:type="dxa"/>
          </w:tcPr>
          <w:p w:rsidR="00BB4123" w:rsidRPr="00B81EB4" w:rsidRDefault="00BB4123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 xml:space="preserve">Величина лизинговых платежей ориентируется на уровень банковских процентных ставок. </w:t>
            </w:r>
          </w:p>
          <w:p w:rsidR="00BB4123" w:rsidRPr="00B81EB4" w:rsidRDefault="00BB4123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B4123" w:rsidRPr="00B81EB4" w:rsidRDefault="00BB4123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 xml:space="preserve">Отсутствие принципиальной разницы в условиях банков и лизинговых компаний </w:t>
            </w:r>
          </w:p>
          <w:p w:rsidR="0096061A" w:rsidRPr="00B81EB4" w:rsidRDefault="0096061A" w:rsidP="00B81EB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6061A" w:rsidRPr="00B81EB4" w:rsidTr="00B81EB4">
        <w:tc>
          <w:tcPr>
            <w:tcW w:w="3085" w:type="dxa"/>
          </w:tcPr>
          <w:p w:rsidR="0096061A" w:rsidRPr="00B81EB4" w:rsidRDefault="00BB4123" w:rsidP="00B81EB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Возможности использования</w:t>
            </w:r>
          </w:p>
        </w:tc>
        <w:tc>
          <w:tcPr>
            <w:tcW w:w="6486" w:type="dxa"/>
          </w:tcPr>
          <w:p w:rsidR="00BB4123" w:rsidRPr="00B81EB4" w:rsidRDefault="00BB4123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 xml:space="preserve">Возможности применения в России безграничны, но только в рамках единой программы поддержки малого бизнеса с участием государства </w:t>
            </w:r>
          </w:p>
          <w:p w:rsidR="00BB4123" w:rsidRPr="00B81EB4" w:rsidRDefault="00BB4123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6061A" w:rsidRPr="00B81EB4" w:rsidRDefault="0096061A" w:rsidP="00B81EB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  <w:r w:rsidRPr="00700081">
        <w:rPr>
          <w:sz w:val="28"/>
          <w:szCs w:val="28"/>
        </w:rPr>
        <w:t xml:space="preserve">Для крестьянских фермерских и личных подсобных хозяйств агролизинг решает одновременно две важные проблемы: приобретение техники и ее финансирование. </w:t>
      </w: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  <w:r w:rsidRPr="00700081">
        <w:rPr>
          <w:sz w:val="28"/>
          <w:szCs w:val="28"/>
        </w:rPr>
        <w:t xml:space="preserve">Существенным условием развития агролизинга является возможность и потребность оплаты оказываемых по лизингу услуг в натуральной форме, т.е. путем встречной поставки производимой пользователем машин сельскохозяйственной продукции. Такая форма взаиморасчетов отвечает интересам как крестьян, так и государства или другого кредитора. Такие сделки позволяют организовать сельскохозяйственное производство в условиях острого недостатка денежных средств, а расчеты за аренду техники произвести после уборки урожая. Они выгодны и государству, так как гарантируют поставки продукции в федеральный фонд. </w:t>
      </w: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  <w:r w:rsidRPr="00700081">
        <w:rPr>
          <w:sz w:val="28"/>
          <w:szCs w:val="28"/>
        </w:rPr>
        <w:t xml:space="preserve">В связи с ростом цен на продовольствие агролизинг при таких сделках служит надежной защитой инвестиций в АПК и стабилизации продовольственного рынка. </w:t>
      </w: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  <w:r w:rsidRPr="00700081">
        <w:rPr>
          <w:sz w:val="28"/>
          <w:szCs w:val="28"/>
        </w:rPr>
        <w:t xml:space="preserve">В целях осуществления поддержки программных мероприятий из федерального бюджета предоставляются субсидии бюджетам субъектов Российской Федерации на возмещение части затрат на уплату процентов по инвестиционным кредитам, полученным сельскохозяйственными товаропроизводителями в российских кредитных организациях на приобретение высокотехнологичных сельскохозяйственных машин и оборудования. </w:t>
      </w: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  <w:r w:rsidRPr="00700081">
        <w:rPr>
          <w:sz w:val="28"/>
          <w:szCs w:val="28"/>
        </w:rPr>
        <w:t xml:space="preserve">Предусматривается также их поставка на условиях лизинга, для чего планируется выделение бюджетных ассигнований на пополнение уставного капитала ОАО «Росагролизинг». </w:t>
      </w: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  <w:r w:rsidRPr="00700081">
        <w:rPr>
          <w:sz w:val="28"/>
          <w:szCs w:val="28"/>
        </w:rPr>
        <w:t xml:space="preserve">Инвестиционные кредиты на эти цели предоставляются сроком до 10 лет. Субсидии в размере 2/3 ставки рефинансирования Банка России за счет средств федерального бюджета и 1/3 ставки рефинансирования Банка России за счет средств бюджетов субъектов Российской Федерации предоставляются сельскохозяйственным товаропроизводителям при приобретении высокотехнологичных сельскохозяйственных машин и оборудования. </w:t>
      </w: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  <w:r w:rsidRPr="00700081">
        <w:rPr>
          <w:sz w:val="28"/>
          <w:szCs w:val="28"/>
        </w:rPr>
        <w:t xml:space="preserve">Финансирование программных мероприятий из федерального бюджета осуществляется на условиях софинансирования расходов субъектов Российской Федерации (табл. </w:t>
      </w:r>
      <w:r w:rsidR="0096061A">
        <w:rPr>
          <w:sz w:val="28"/>
          <w:szCs w:val="28"/>
        </w:rPr>
        <w:t>2</w:t>
      </w:r>
      <w:r w:rsidRPr="00700081">
        <w:rPr>
          <w:sz w:val="28"/>
          <w:szCs w:val="28"/>
        </w:rPr>
        <w:t xml:space="preserve">). </w:t>
      </w: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  <w:r w:rsidRPr="00700081">
        <w:rPr>
          <w:sz w:val="28"/>
          <w:szCs w:val="28"/>
        </w:rPr>
        <w:t xml:space="preserve">Долевое финансирование из бюджета субъекта Российской Федерации должно составлять не менее 1/3 ставки рефинансирования (учетной ставки) Центрального банка Российской Федерации на уплату процентов по привлеченным кредитам. </w:t>
      </w: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</w:p>
    <w:p w:rsidR="00137B87" w:rsidRPr="00BB4123" w:rsidRDefault="00137B87" w:rsidP="00700081">
      <w:pPr>
        <w:spacing w:line="360" w:lineRule="auto"/>
        <w:jc w:val="both"/>
        <w:rPr>
          <w:b/>
          <w:i/>
          <w:sz w:val="28"/>
          <w:szCs w:val="28"/>
        </w:rPr>
      </w:pPr>
      <w:r w:rsidRPr="00BB4123">
        <w:rPr>
          <w:b/>
          <w:i/>
          <w:sz w:val="28"/>
          <w:szCs w:val="28"/>
        </w:rPr>
        <w:t xml:space="preserve">Таблица </w:t>
      </w:r>
      <w:r w:rsidR="0096061A" w:rsidRPr="00BB4123">
        <w:rPr>
          <w:b/>
          <w:i/>
          <w:sz w:val="28"/>
          <w:szCs w:val="28"/>
        </w:rPr>
        <w:t>2</w:t>
      </w:r>
      <w:r w:rsidRPr="00BB4123">
        <w:rPr>
          <w:b/>
          <w:i/>
          <w:sz w:val="28"/>
          <w:szCs w:val="28"/>
        </w:rPr>
        <w:t xml:space="preserve"> </w:t>
      </w:r>
    </w:p>
    <w:p w:rsidR="00137B87" w:rsidRPr="0096061A" w:rsidRDefault="00137B87" w:rsidP="00700081">
      <w:pPr>
        <w:spacing w:line="360" w:lineRule="auto"/>
        <w:jc w:val="both"/>
        <w:rPr>
          <w:b/>
          <w:sz w:val="28"/>
          <w:szCs w:val="28"/>
        </w:rPr>
      </w:pPr>
    </w:p>
    <w:p w:rsidR="00137B87" w:rsidRPr="0096061A" w:rsidRDefault="00137B87" w:rsidP="00BB4123">
      <w:pPr>
        <w:spacing w:line="360" w:lineRule="auto"/>
        <w:jc w:val="center"/>
        <w:rPr>
          <w:b/>
          <w:sz w:val="28"/>
          <w:szCs w:val="28"/>
        </w:rPr>
      </w:pPr>
      <w:r w:rsidRPr="0096061A">
        <w:rPr>
          <w:b/>
          <w:sz w:val="28"/>
          <w:szCs w:val="28"/>
        </w:rPr>
        <w:t>Финансовое обеспечение программных мероприятий, млн.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1"/>
        <w:gridCol w:w="1259"/>
        <w:gridCol w:w="1259"/>
        <w:gridCol w:w="1259"/>
        <w:gridCol w:w="1336"/>
        <w:gridCol w:w="1337"/>
      </w:tblGrid>
      <w:tr w:rsidR="0096061A" w:rsidRPr="00B81EB4" w:rsidTr="00B81EB4">
        <w:tc>
          <w:tcPr>
            <w:tcW w:w="1595" w:type="dxa"/>
            <w:vMerge w:val="restart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976" w:type="dxa"/>
            <w:gridSpan w:val="5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Годы</w:t>
            </w:r>
          </w:p>
        </w:tc>
      </w:tr>
      <w:tr w:rsidR="0096061A" w:rsidRPr="00B81EB4" w:rsidTr="00B81EB4">
        <w:tc>
          <w:tcPr>
            <w:tcW w:w="1595" w:type="dxa"/>
            <w:vMerge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2008</w:t>
            </w:r>
          </w:p>
        </w:tc>
        <w:tc>
          <w:tcPr>
            <w:tcW w:w="1595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2009</w:t>
            </w:r>
          </w:p>
        </w:tc>
        <w:tc>
          <w:tcPr>
            <w:tcW w:w="1595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2010</w:t>
            </w:r>
          </w:p>
        </w:tc>
        <w:tc>
          <w:tcPr>
            <w:tcW w:w="1595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2011</w:t>
            </w:r>
          </w:p>
        </w:tc>
        <w:tc>
          <w:tcPr>
            <w:tcW w:w="1596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2012</w:t>
            </w:r>
          </w:p>
        </w:tc>
      </w:tr>
      <w:tr w:rsidR="0096061A" w:rsidRPr="00B81EB4" w:rsidTr="00B81EB4">
        <w:tc>
          <w:tcPr>
            <w:tcW w:w="1595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Субсидии на возмещение части затрат на уплату процентов по инвестиционным кредитам, полученным сельскохозяйственными товаропроизводителями на приобретение высокотехнологической сельскохозяйственной техники</w:t>
            </w:r>
          </w:p>
        </w:tc>
        <w:tc>
          <w:tcPr>
            <w:tcW w:w="1595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2450</w:t>
            </w:r>
          </w:p>
        </w:tc>
        <w:tc>
          <w:tcPr>
            <w:tcW w:w="1595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5360,1</w:t>
            </w:r>
          </w:p>
        </w:tc>
        <w:tc>
          <w:tcPr>
            <w:tcW w:w="1595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8450</w:t>
            </w:r>
          </w:p>
        </w:tc>
        <w:tc>
          <w:tcPr>
            <w:tcW w:w="1595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10297,4</w:t>
            </w:r>
          </w:p>
        </w:tc>
        <w:tc>
          <w:tcPr>
            <w:tcW w:w="1596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11547,4</w:t>
            </w:r>
          </w:p>
        </w:tc>
      </w:tr>
      <w:tr w:rsidR="0096061A" w:rsidRPr="00B81EB4" w:rsidTr="00B81EB4">
        <w:tc>
          <w:tcPr>
            <w:tcW w:w="1595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Взнос Российской Федерации в уставный капитал ОАО «Росагролизинг»</w:t>
            </w:r>
          </w:p>
        </w:tc>
        <w:tc>
          <w:tcPr>
            <w:tcW w:w="1595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4000</w:t>
            </w:r>
          </w:p>
        </w:tc>
        <w:tc>
          <w:tcPr>
            <w:tcW w:w="1595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2000</w:t>
            </w:r>
          </w:p>
        </w:tc>
        <w:tc>
          <w:tcPr>
            <w:tcW w:w="1595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-</w:t>
            </w:r>
          </w:p>
        </w:tc>
      </w:tr>
      <w:tr w:rsidR="0096061A" w:rsidRPr="00B81EB4" w:rsidTr="00B81EB4">
        <w:tc>
          <w:tcPr>
            <w:tcW w:w="1595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Всего расходов из федерального бюджета</w:t>
            </w:r>
          </w:p>
        </w:tc>
        <w:tc>
          <w:tcPr>
            <w:tcW w:w="1595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6450,0</w:t>
            </w:r>
          </w:p>
        </w:tc>
        <w:tc>
          <w:tcPr>
            <w:tcW w:w="1595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7360,1</w:t>
            </w:r>
          </w:p>
        </w:tc>
        <w:tc>
          <w:tcPr>
            <w:tcW w:w="1595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8450,0</w:t>
            </w:r>
          </w:p>
        </w:tc>
        <w:tc>
          <w:tcPr>
            <w:tcW w:w="1595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10297,4</w:t>
            </w:r>
          </w:p>
        </w:tc>
        <w:tc>
          <w:tcPr>
            <w:tcW w:w="1596" w:type="dxa"/>
          </w:tcPr>
          <w:p w:rsidR="0096061A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11547,4</w:t>
            </w:r>
          </w:p>
        </w:tc>
      </w:tr>
    </w:tbl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  <w:r w:rsidRPr="00700081">
        <w:rPr>
          <w:sz w:val="28"/>
          <w:szCs w:val="28"/>
        </w:rPr>
        <w:tab/>
      </w:r>
    </w:p>
    <w:p w:rsidR="00137B87" w:rsidRPr="0096061A" w:rsidRDefault="00137B87" w:rsidP="00700081">
      <w:pPr>
        <w:spacing w:line="360" w:lineRule="auto"/>
        <w:jc w:val="both"/>
        <w:rPr>
          <w:i/>
          <w:sz w:val="28"/>
          <w:szCs w:val="28"/>
        </w:rPr>
      </w:pPr>
      <w:r w:rsidRPr="0096061A">
        <w:rPr>
          <w:i/>
          <w:sz w:val="28"/>
          <w:szCs w:val="28"/>
        </w:rPr>
        <w:t xml:space="preserve">Для успешной реализации программных мероприятий одну из ключевых ролей играет поставка племенного скота и оборудование по лизингу (табл. </w:t>
      </w:r>
      <w:r w:rsidR="0096061A">
        <w:rPr>
          <w:i/>
          <w:sz w:val="28"/>
          <w:szCs w:val="28"/>
        </w:rPr>
        <w:t>3</w:t>
      </w:r>
      <w:r w:rsidRPr="0096061A">
        <w:rPr>
          <w:i/>
          <w:sz w:val="28"/>
          <w:szCs w:val="28"/>
        </w:rPr>
        <w:t xml:space="preserve">). </w:t>
      </w: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</w:p>
    <w:p w:rsidR="00137B87" w:rsidRPr="0096061A" w:rsidRDefault="00137B87" w:rsidP="00700081">
      <w:pPr>
        <w:spacing w:line="360" w:lineRule="auto"/>
        <w:jc w:val="both"/>
        <w:rPr>
          <w:b/>
          <w:sz w:val="28"/>
          <w:szCs w:val="28"/>
        </w:rPr>
      </w:pPr>
      <w:r w:rsidRPr="0096061A">
        <w:rPr>
          <w:b/>
          <w:sz w:val="28"/>
          <w:szCs w:val="28"/>
        </w:rPr>
        <w:t xml:space="preserve">Таблица </w:t>
      </w:r>
      <w:r w:rsidR="0096061A">
        <w:rPr>
          <w:b/>
          <w:sz w:val="28"/>
          <w:szCs w:val="28"/>
        </w:rPr>
        <w:t>3</w:t>
      </w:r>
      <w:r w:rsidRPr="0096061A">
        <w:rPr>
          <w:b/>
          <w:sz w:val="28"/>
          <w:szCs w:val="28"/>
        </w:rPr>
        <w:t xml:space="preserve"> </w:t>
      </w: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</w:p>
    <w:p w:rsidR="00137B87" w:rsidRPr="0096061A" w:rsidRDefault="00137B87" w:rsidP="00BB4123">
      <w:pPr>
        <w:spacing w:line="360" w:lineRule="auto"/>
        <w:jc w:val="center"/>
        <w:rPr>
          <w:b/>
          <w:sz w:val="28"/>
          <w:szCs w:val="28"/>
        </w:rPr>
      </w:pPr>
      <w:r w:rsidRPr="0096061A">
        <w:rPr>
          <w:b/>
          <w:sz w:val="28"/>
          <w:szCs w:val="28"/>
        </w:rPr>
        <w:t>Увеличение поставок ОАО «Росагролизинг» по системе федерального лизинга племенного скота, техники и оборудования для животноводства</w:t>
      </w: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5"/>
        <w:gridCol w:w="2267"/>
        <w:gridCol w:w="2264"/>
        <w:gridCol w:w="2165"/>
      </w:tblGrid>
      <w:tr w:rsidR="00700081" w:rsidRPr="00B81EB4" w:rsidTr="00B81EB4">
        <w:tc>
          <w:tcPr>
            <w:tcW w:w="2875" w:type="dxa"/>
            <w:vMerge w:val="restart"/>
          </w:tcPr>
          <w:p w:rsidR="00700081" w:rsidRPr="00B81EB4" w:rsidRDefault="00700081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Основные мероприятия</w:t>
            </w:r>
          </w:p>
        </w:tc>
        <w:tc>
          <w:tcPr>
            <w:tcW w:w="2267" w:type="dxa"/>
            <w:vMerge w:val="restart"/>
          </w:tcPr>
          <w:p w:rsidR="00700081" w:rsidRPr="00B81EB4" w:rsidRDefault="00700081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Целевые показатели на 2006 год</w:t>
            </w:r>
          </w:p>
        </w:tc>
        <w:tc>
          <w:tcPr>
            <w:tcW w:w="4429" w:type="dxa"/>
            <w:gridSpan w:val="2"/>
          </w:tcPr>
          <w:p w:rsidR="00700081" w:rsidRPr="00B81EB4" w:rsidRDefault="00700081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Выполнение</w:t>
            </w:r>
          </w:p>
        </w:tc>
      </w:tr>
      <w:tr w:rsidR="00700081" w:rsidRPr="00B81EB4" w:rsidTr="00B81EB4">
        <w:tc>
          <w:tcPr>
            <w:tcW w:w="2875" w:type="dxa"/>
            <w:vMerge/>
          </w:tcPr>
          <w:p w:rsidR="00700081" w:rsidRPr="00B81EB4" w:rsidRDefault="00700081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700081" w:rsidRPr="00B81EB4" w:rsidRDefault="00700081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700081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показатель</w:t>
            </w:r>
          </w:p>
        </w:tc>
        <w:tc>
          <w:tcPr>
            <w:tcW w:w="2165" w:type="dxa"/>
          </w:tcPr>
          <w:p w:rsidR="00700081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%</w:t>
            </w:r>
          </w:p>
        </w:tc>
      </w:tr>
      <w:tr w:rsidR="00700081" w:rsidRPr="00B81EB4" w:rsidTr="00B81EB4">
        <w:tc>
          <w:tcPr>
            <w:tcW w:w="2875" w:type="dxa"/>
          </w:tcPr>
          <w:p w:rsidR="00700081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Закупка и передачи в лизинг высокопродуктивного племенного скота, тыс. голов</w:t>
            </w:r>
          </w:p>
        </w:tc>
        <w:tc>
          <w:tcPr>
            <w:tcW w:w="2267" w:type="dxa"/>
          </w:tcPr>
          <w:p w:rsidR="00700081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поставка 50 тыс. голов</w:t>
            </w:r>
          </w:p>
        </w:tc>
        <w:tc>
          <w:tcPr>
            <w:tcW w:w="2264" w:type="dxa"/>
          </w:tcPr>
          <w:p w:rsidR="00700081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50,2</w:t>
            </w:r>
          </w:p>
        </w:tc>
        <w:tc>
          <w:tcPr>
            <w:tcW w:w="2165" w:type="dxa"/>
          </w:tcPr>
          <w:p w:rsidR="00700081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100,4</w:t>
            </w:r>
          </w:p>
        </w:tc>
      </w:tr>
      <w:tr w:rsidR="00700081" w:rsidRPr="00B81EB4" w:rsidTr="00B81EB4">
        <w:tc>
          <w:tcPr>
            <w:tcW w:w="2875" w:type="dxa"/>
          </w:tcPr>
          <w:p w:rsidR="00700081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Закупка и передача в лизинг техники и оборудования для создания и модернизации скотомест, тыс.ед</w:t>
            </w:r>
          </w:p>
        </w:tc>
        <w:tc>
          <w:tcPr>
            <w:tcW w:w="2267" w:type="dxa"/>
          </w:tcPr>
          <w:p w:rsidR="00700081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оснащение 65 тыс. скотомест</w:t>
            </w:r>
          </w:p>
        </w:tc>
        <w:tc>
          <w:tcPr>
            <w:tcW w:w="2264" w:type="dxa"/>
          </w:tcPr>
          <w:p w:rsidR="00700081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78,7</w:t>
            </w:r>
          </w:p>
        </w:tc>
        <w:tc>
          <w:tcPr>
            <w:tcW w:w="2165" w:type="dxa"/>
          </w:tcPr>
          <w:p w:rsidR="00700081" w:rsidRPr="00B81EB4" w:rsidRDefault="0096061A" w:rsidP="00B81EB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81EB4">
              <w:rPr>
                <w:sz w:val="28"/>
                <w:szCs w:val="28"/>
              </w:rPr>
              <w:t>121,1</w:t>
            </w:r>
          </w:p>
        </w:tc>
      </w:tr>
    </w:tbl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</w:p>
    <w:p w:rsidR="00137B87" w:rsidRPr="00700081" w:rsidRDefault="00137B87" w:rsidP="00700081">
      <w:pPr>
        <w:spacing w:line="360" w:lineRule="auto"/>
        <w:jc w:val="both"/>
        <w:rPr>
          <w:i/>
          <w:sz w:val="28"/>
          <w:szCs w:val="28"/>
        </w:rPr>
      </w:pPr>
      <w:r w:rsidRPr="00700081">
        <w:rPr>
          <w:i/>
          <w:sz w:val="28"/>
          <w:szCs w:val="28"/>
        </w:rPr>
        <w:t>Источник: Из выступления А.В.Гордеева на заседании Совета Федерации Федерального Собрания Российской Федерации 2 марта 200</w:t>
      </w:r>
      <w:r w:rsidR="00700081" w:rsidRPr="00700081">
        <w:rPr>
          <w:i/>
          <w:sz w:val="28"/>
          <w:szCs w:val="28"/>
        </w:rPr>
        <w:t>8</w:t>
      </w:r>
      <w:r w:rsidRPr="00700081">
        <w:rPr>
          <w:i/>
          <w:sz w:val="28"/>
          <w:szCs w:val="28"/>
        </w:rPr>
        <w:t xml:space="preserve"> г. </w:t>
      </w: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  <w:r w:rsidRPr="00700081">
        <w:rPr>
          <w:sz w:val="28"/>
          <w:szCs w:val="28"/>
        </w:rPr>
        <w:t>Составной частью формирования стратегии регионального развития лизинга является организация бизнес - консультирования и обучен</w:t>
      </w:r>
      <w:r w:rsidR="00700081">
        <w:rPr>
          <w:sz w:val="28"/>
          <w:szCs w:val="28"/>
        </w:rPr>
        <w:t>ия предпринимателей. П</w:t>
      </w:r>
      <w:r w:rsidRPr="00700081">
        <w:rPr>
          <w:sz w:val="28"/>
          <w:szCs w:val="28"/>
        </w:rPr>
        <w:t xml:space="preserve">редприятия демонстрируют весьма низкий уровень информированности о возможности и, тем более, механизме получения основных средств на условиях лизинга и практически никогда не сталкивались с этой проблемой на практике; у них нет опыта составления бизнес-планов; заявок и иных документов, необходимых для их получения. Кроме того, подготовка предпринимателей в области финансового менеджмента и правовых аспектов экономической деятельности оценивается как явно недостаточная. Это значительно снижает возможность получения малыми предприятиями оборудования на условиях лизинга и формирует высокий уровень рисков для лизинговых компаний: велика вероятность того, что малое предприятие не сможет реально обеспечить поступление лизинговых платежей по установленному графику и в установленном объеме. </w:t>
      </w:r>
    </w:p>
    <w:p w:rsidR="00137B87" w:rsidRPr="00700081" w:rsidRDefault="00137B87" w:rsidP="00700081">
      <w:pPr>
        <w:spacing w:line="360" w:lineRule="auto"/>
        <w:jc w:val="both"/>
        <w:rPr>
          <w:sz w:val="28"/>
          <w:szCs w:val="28"/>
        </w:rPr>
      </w:pPr>
      <w:r w:rsidRPr="00700081">
        <w:rPr>
          <w:sz w:val="28"/>
          <w:szCs w:val="28"/>
        </w:rPr>
        <w:t xml:space="preserve">В связи с этим необходимым условием развития лизинга в </w:t>
      </w:r>
      <w:r w:rsidR="00700081">
        <w:rPr>
          <w:sz w:val="28"/>
          <w:szCs w:val="28"/>
        </w:rPr>
        <w:t>агро</w:t>
      </w:r>
      <w:r w:rsidRPr="00700081">
        <w:rPr>
          <w:sz w:val="28"/>
          <w:szCs w:val="28"/>
        </w:rPr>
        <w:t xml:space="preserve">бизнесе является разработка специальных программ обучения и организация консалтинговой поддержки предпринимателей на разных этапах реализации лизинговой сделки. Консалтинговое обеспечение лизинга может быть организовано как направление деятельности институтов поддержки малого агробизнеса. </w:t>
      </w:r>
    </w:p>
    <w:p w:rsidR="00137B87" w:rsidRDefault="00137B87" w:rsidP="00700081">
      <w:pPr>
        <w:spacing w:line="360" w:lineRule="auto"/>
        <w:jc w:val="both"/>
        <w:rPr>
          <w:sz w:val="28"/>
          <w:szCs w:val="28"/>
        </w:rPr>
      </w:pPr>
      <w:r w:rsidRPr="00700081">
        <w:rPr>
          <w:sz w:val="28"/>
          <w:szCs w:val="28"/>
        </w:rPr>
        <w:t>Разработанные автором предложения и рекомендации по финансовому обеспечению малых форм сельского хозяйства позволят лизингу занять достойное место среди способов поддержки, определяющих динамичное развитие агробизнеса и экономики России в целом.</w:t>
      </w:r>
    </w:p>
    <w:p w:rsidR="00700081" w:rsidRDefault="00700081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Pr="00700081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AF17D6" w:rsidRPr="00700081" w:rsidRDefault="00700081" w:rsidP="00700081">
      <w:pPr>
        <w:spacing w:line="360" w:lineRule="auto"/>
        <w:jc w:val="center"/>
        <w:rPr>
          <w:b/>
          <w:sz w:val="40"/>
          <w:szCs w:val="40"/>
        </w:rPr>
      </w:pPr>
      <w:r w:rsidRPr="00700081">
        <w:rPr>
          <w:b/>
          <w:sz w:val="40"/>
          <w:szCs w:val="40"/>
        </w:rPr>
        <w:t>3</w:t>
      </w:r>
      <w:r w:rsidR="00AF17D6" w:rsidRPr="00700081">
        <w:rPr>
          <w:b/>
          <w:sz w:val="40"/>
          <w:szCs w:val="40"/>
        </w:rPr>
        <w:t xml:space="preserve">.  </w:t>
      </w:r>
      <w:r w:rsidRPr="00700081">
        <w:rPr>
          <w:b/>
          <w:sz w:val="40"/>
          <w:szCs w:val="40"/>
        </w:rPr>
        <w:t>Банковские риски</w:t>
      </w:r>
    </w:p>
    <w:p w:rsidR="00AF17D6" w:rsidRPr="00700081" w:rsidRDefault="00AF17D6" w:rsidP="00700081">
      <w:pPr>
        <w:spacing w:line="360" w:lineRule="auto"/>
        <w:ind w:firstLine="709"/>
        <w:jc w:val="both"/>
        <w:rPr>
          <w:sz w:val="28"/>
          <w:szCs w:val="28"/>
        </w:rPr>
      </w:pPr>
    </w:p>
    <w:p w:rsidR="00AF17D6" w:rsidRPr="00700081" w:rsidRDefault="00AF17D6" w:rsidP="00700081">
      <w:pPr>
        <w:spacing w:line="360" w:lineRule="auto"/>
        <w:ind w:firstLine="709"/>
        <w:jc w:val="both"/>
        <w:rPr>
          <w:sz w:val="28"/>
          <w:szCs w:val="28"/>
        </w:rPr>
      </w:pPr>
      <w:r w:rsidRPr="00700081">
        <w:rPr>
          <w:sz w:val="28"/>
          <w:szCs w:val="28"/>
        </w:rPr>
        <w:t>В  условиях  перехода  российского  хозяйства  к  рыночной  экономике  и  оживления  конкуренции  в  банковской сфере  руководство  любого  банка  понимает,  что  банковской  деятельности,  как  и  любой  другой,  присущ  риск.</w:t>
      </w:r>
    </w:p>
    <w:p w:rsidR="00AF17D6" w:rsidRPr="00700081" w:rsidRDefault="00AF17D6" w:rsidP="00700081">
      <w:pPr>
        <w:spacing w:line="360" w:lineRule="auto"/>
        <w:ind w:firstLine="709"/>
        <w:jc w:val="both"/>
        <w:rPr>
          <w:sz w:val="28"/>
          <w:szCs w:val="28"/>
        </w:rPr>
      </w:pPr>
      <w:r w:rsidRPr="00700081">
        <w:rPr>
          <w:sz w:val="28"/>
          <w:szCs w:val="28"/>
        </w:rPr>
        <w:t>Однако,  несмотря  на  быстрое  распространение  практики  управления  рисками  в  банках,  до сих пор существуют различные определения рисков. Практически любое понимание риска является законным, поскольку, так или иначе,  отражает различные ожидания коммерсантов, управляющих, высшего руководства банков и органов контроля. Но разнообразие определений банковских рисков затрудняет разработку единых норм и правил управления ими. Поэтому возникает необходимость выбора наиболее оптимального по точности и полноте определения.</w:t>
      </w:r>
    </w:p>
    <w:p w:rsidR="00AF17D6" w:rsidRPr="00700081" w:rsidRDefault="00AF17D6" w:rsidP="00700081">
      <w:pPr>
        <w:spacing w:line="360" w:lineRule="auto"/>
        <w:ind w:firstLine="709"/>
        <w:jc w:val="both"/>
        <w:rPr>
          <w:sz w:val="28"/>
          <w:szCs w:val="28"/>
        </w:rPr>
      </w:pPr>
      <w:r w:rsidRPr="00700081">
        <w:rPr>
          <w:sz w:val="28"/>
          <w:szCs w:val="28"/>
        </w:rPr>
        <w:t>Самое обыденное, а значит, и самое распространенное представление о банковских рисках - это их отождествление с возможными убытками банка в результате деятельности или возможностью убытков. Это мнение, в частности, поддерживает Козловская Э.А. [1,23], Вебстер [2,58], Болдин Л.В. [3,203] и другие. Но банковский риск не есть убыток. И вводить в употребление новый термин, дублирующий уже существующий, нецелесообразно.</w:t>
      </w:r>
    </w:p>
    <w:p w:rsidR="00AF17D6" w:rsidRPr="00700081" w:rsidRDefault="00AF17D6" w:rsidP="00700081">
      <w:pPr>
        <w:spacing w:line="360" w:lineRule="auto"/>
        <w:ind w:firstLine="709"/>
        <w:jc w:val="both"/>
        <w:rPr>
          <w:sz w:val="28"/>
          <w:szCs w:val="28"/>
        </w:rPr>
      </w:pPr>
      <w:r w:rsidRPr="00700081">
        <w:rPr>
          <w:sz w:val="28"/>
          <w:szCs w:val="28"/>
        </w:rPr>
        <w:t>Другая группа авторов под банковскими рисками понимает специфические потери  в какой-либо  ограниченной области деятельности коммерческого банка. В частности,  Азрилиян А.Н. отмечает, что банковский риск - это “возможность потерь, вытекающих из специфики банковских операций, осуществляемых кредитными учреждениями”[4,189]. Но конкретизация “убыточного” определения банковского риска, данная в его классификации по сферам возникновения, не позволяет выделить эту специфику. Риск оказывается практически везде. Получается, что определение риска как возможного убытка тавтологично. Не больше ясности в понимание риска привносит и “опасность убытка”, о которой упоминает, в частности, Бурова М.Е. [5,77].</w:t>
      </w:r>
    </w:p>
    <w:p w:rsidR="00AF17D6" w:rsidRPr="00700081" w:rsidRDefault="00AF17D6" w:rsidP="00700081">
      <w:pPr>
        <w:spacing w:line="360" w:lineRule="auto"/>
        <w:ind w:firstLine="709"/>
        <w:jc w:val="both"/>
        <w:rPr>
          <w:sz w:val="28"/>
          <w:szCs w:val="28"/>
        </w:rPr>
      </w:pPr>
      <w:r w:rsidRPr="00700081">
        <w:rPr>
          <w:sz w:val="28"/>
          <w:szCs w:val="28"/>
        </w:rPr>
        <w:t>Некоторые специалисты, к числу которых относятся Ширинская З.Г., Кривовяз Т.В., под банковскими рисками понимают совокупность различных взаимосвязанных  рисков (кредитных, процентных, ликвидности и т.д.) [6, 391]. Но совокупность чего-либо нельзя рассматривать как определение, так как она не устанавливает смысла термина,  а характеризует состав, структуру. Поэтому мнение вышеуказанных специалистов также нельзя назвать состоятельным.</w:t>
      </w:r>
    </w:p>
    <w:p w:rsidR="00AF17D6" w:rsidRPr="00700081" w:rsidRDefault="00AF17D6" w:rsidP="00700081">
      <w:pPr>
        <w:spacing w:line="360" w:lineRule="auto"/>
        <w:ind w:firstLine="709"/>
        <w:jc w:val="both"/>
        <w:rPr>
          <w:sz w:val="28"/>
          <w:szCs w:val="28"/>
        </w:rPr>
      </w:pPr>
      <w:r w:rsidRPr="00700081">
        <w:rPr>
          <w:sz w:val="28"/>
          <w:szCs w:val="28"/>
        </w:rPr>
        <w:t>Другой подход к определению банковских рисков осуществляется через вероятность отклонения от необходимого (желаемого). Такой подход приближает к пониманию сути риска. Сторонниками этого подхода являются Грабовый С. [2,60], Первозванский А. [7,13] и др. В действительности, вероятность лучше простой возможности. Во-первых, вероятность есть количественная характеристика степени возможности наступления события. Во-вторых, каждой вероятности ставится в соответствие строго определенное значение исхода. В-третьих, ситуация с риском характеризуется распределением вероятностей согласно тем или иным законам распределения. Последнее имеет большое прикладное значение; оно позволяет установить вероятность отклонения от ожидаемого дохода, что частично проясняет ситуацию. Причем отклонения могут быть позитивными и негативными. Тогда в первом случае речь идет о шансах получения прибыли, и только во втором - о рисках. Поэтому рассматриваемый подход можно  модернизировать и определить риск не просто как вероятность отклонения, а как вероятность</w:t>
      </w:r>
      <w:r w:rsidRPr="00700081">
        <w:rPr>
          <w:i/>
          <w:iCs/>
          <w:sz w:val="28"/>
          <w:szCs w:val="28"/>
        </w:rPr>
        <w:t xml:space="preserve"> негативного</w:t>
      </w:r>
      <w:r w:rsidRPr="00700081">
        <w:rPr>
          <w:sz w:val="28"/>
          <w:szCs w:val="28"/>
        </w:rPr>
        <w:t xml:space="preserve"> отклонения действительности от ожидаемого.</w:t>
      </w:r>
    </w:p>
    <w:p w:rsidR="00AF17D6" w:rsidRPr="00700081" w:rsidRDefault="00AF17D6" w:rsidP="00700081">
      <w:pPr>
        <w:spacing w:line="360" w:lineRule="auto"/>
        <w:ind w:firstLine="709"/>
        <w:jc w:val="both"/>
        <w:rPr>
          <w:sz w:val="28"/>
          <w:szCs w:val="28"/>
        </w:rPr>
      </w:pPr>
      <w:r w:rsidRPr="00700081">
        <w:rPr>
          <w:sz w:val="28"/>
          <w:szCs w:val="28"/>
        </w:rPr>
        <w:t>Рассмотренный подход к риску как к статистической характеристике - один из наиболее распространенных в современной экономической литературе. Л.Харрис в “Денежной теории”  отмечает, что “для любого данного портфеля со специфическим распределением вероятностей дохода среднее и стандартное отклонение отнюдь не является единственной мерой измерения прибыльности и риска. Однако Тобин показал, что несколько допущений ... вполне достаточно (если допущения обоснованны), чтобы он считал ожидаемый доход мерой прибыльности и стандартное отклонение мерой риска” [8, 340]. Но, как видно, здесь не происходит полного отождествления риска со статистической величиной. Статистическая величина является лишь мерой риска. В таком случае эта мера измеряет степень неопределенности ситуации принятия решения, характеризующуюся неопределенностью информации. Соответственно, банковский риск есть не что иное, как ситуация, порожденная неопределенностью информации, используемой банком для управления и принятия решений, и характеризуемая строгой зависимостью между возможным исходом принятого решения и соответствующей ему вероятностью. Убыток, равно как и сверхприбыль, и вытекает из неопределенности  ситуации.</w:t>
      </w:r>
    </w:p>
    <w:p w:rsidR="00AF17D6" w:rsidRPr="00700081" w:rsidRDefault="00AF17D6" w:rsidP="00700081">
      <w:pPr>
        <w:spacing w:line="360" w:lineRule="auto"/>
        <w:ind w:firstLine="709"/>
        <w:jc w:val="both"/>
        <w:rPr>
          <w:sz w:val="28"/>
          <w:szCs w:val="28"/>
        </w:rPr>
      </w:pPr>
      <w:r w:rsidRPr="00700081">
        <w:rPr>
          <w:sz w:val="28"/>
          <w:szCs w:val="28"/>
        </w:rPr>
        <w:t xml:space="preserve">Таким образом, наиболее оптимальным определением банковского риска является следующее. </w:t>
      </w:r>
      <w:r w:rsidRPr="00700081">
        <w:rPr>
          <w:b/>
          <w:bCs/>
          <w:sz w:val="28"/>
          <w:szCs w:val="28"/>
        </w:rPr>
        <w:t>Банковский риск</w:t>
      </w:r>
      <w:r w:rsidRPr="00700081">
        <w:rPr>
          <w:sz w:val="28"/>
          <w:szCs w:val="28"/>
        </w:rPr>
        <w:t xml:space="preserve"> - это </w:t>
      </w:r>
      <w:r w:rsidRPr="00700081">
        <w:rPr>
          <w:i/>
          <w:iCs/>
          <w:sz w:val="28"/>
          <w:szCs w:val="28"/>
        </w:rPr>
        <w:t>ситуативная</w:t>
      </w:r>
      <w:r w:rsidRPr="00700081">
        <w:rPr>
          <w:sz w:val="28"/>
          <w:szCs w:val="28"/>
        </w:rPr>
        <w:t xml:space="preserve"> характеристика деятельности банка, отображающая </w:t>
      </w:r>
      <w:r w:rsidRPr="00700081">
        <w:rPr>
          <w:i/>
          <w:iCs/>
          <w:sz w:val="28"/>
          <w:szCs w:val="28"/>
        </w:rPr>
        <w:t>неопределенность</w:t>
      </w:r>
      <w:r w:rsidRPr="00700081">
        <w:rPr>
          <w:sz w:val="28"/>
          <w:szCs w:val="28"/>
        </w:rPr>
        <w:t xml:space="preserve"> ее исхода и характеризующая вероятность </w:t>
      </w:r>
      <w:r w:rsidRPr="00700081">
        <w:rPr>
          <w:i/>
          <w:iCs/>
          <w:sz w:val="28"/>
          <w:szCs w:val="28"/>
        </w:rPr>
        <w:t>негативного отклонения</w:t>
      </w:r>
      <w:r w:rsidRPr="00700081">
        <w:rPr>
          <w:sz w:val="28"/>
          <w:szCs w:val="28"/>
        </w:rPr>
        <w:t xml:space="preserve"> действительности от  ожидаемого. В этом определении уделяется должное внимание всем необходимым ключевым понятиям, нужным для осмысления банковских рисков - неопределенность ситуации принятия решения и вероятность негативного отклонения от планируемого.</w:t>
      </w:r>
    </w:p>
    <w:p w:rsidR="00AF17D6" w:rsidRPr="00700081" w:rsidRDefault="00AF17D6" w:rsidP="00700081">
      <w:pPr>
        <w:spacing w:line="360" w:lineRule="auto"/>
        <w:ind w:firstLine="709"/>
        <w:jc w:val="both"/>
        <w:rPr>
          <w:sz w:val="28"/>
          <w:szCs w:val="28"/>
        </w:rPr>
      </w:pPr>
      <w:r w:rsidRPr="00700081">
        <w:rPr>
          <w:sz w:val="28"/>
          <w:szCs w:val="28"/>
        </w:rPr>
        <w:t>Проблема поиска оптимального определения банковских рисков непосредственно связана с вопросами их классификации. В современной экономической литературе представлено множество различных вариантов классификации.</w:t>
      </w:r>
    </w:p>
    <w:p w:rsidR="00AF17D6" w:rsidRPr="00700081" w:rsidRDefault="00AF17D6" w:rsidP="00700081">
      <w:pPr>
        <w:spacing w:line="360" w:lineRule="auto"/>
        <w:ind w:firstLine="709"/>
        <w:jc w:val="both"/>
        <w:rPr>
          <w:sz w:val="28"/>
          <w:szCs w:val="28"/>
        </w:rPr>
      </w:pPr>
      <w:r w:rsidRPr="00700081">
        <w:rPr>
          <w:sz w:val="28"/>
          <w:szCs w:val="28"/>
        </w:rPr>
        <w:t xml:space="preserve">Практически все разработчики классификаций выделяют политические и экономические риски. </w:t>
      </w:r>
      <w:r w:rsidRPr="00700081">
        <w:rPr>
          <w:i/>
          <w:iCs/>
          <w:sz w:val="28"/>
          <w:szCs w:val="28"/>
        </w:rPr>
        <w:t>Политические риски</w:t>
      </w:r>
      <w:r w:rsidRPr="00700081">
        <w:rPr>
          <w:sz w:val="28"/>
          <w:szCs w:val="28"/>
        </w:rPr>
        <w:t xml:space="preserve"> - это риски, обусловленные изменениями политической обстановки, неблагоприятно влияющей на результаты деятельности банков (закрытие границ, военные действия на территории страны и т.п.). </w:t>
      </w:r>
      <w:r w:rsidRPr="00700081">
        <w:rPr>
          <w:i/>
          <w:iCs/>
          <w:sz w:val="28"/>
          <w:szCs w:val="28"/>
        </w:rPr>
        <w:t>Экономические риски</w:t>
      </w:r>
      <w:r w:rsidRPr="00700081">
        <w:rPr>
          <w:sz w:val="28"/>
          <w:szCs w:val="28"/>
        </w:rPr>
        <w:t xml:space="preserve"> обусловлены неблагоприятными изменениями в экономике самого банка либо в экономике страны. И политические, и экономические риски связаны между собой, и часто на практике их трудно разделить.</w:t>
      </w:r>
    </w:p>
    <w:p w:rsidR="00AF17D6" w:rsidRPr="00700081" w:rsidRDefault="00AF17D6" w:rsidP="00700081">
      <w:pPr>
        <w:spacing w:line="360" w:lineRule="auto"/>
        <w:ind w:firstLine="709"/>
        <w:jc w:val="both"/>
        <w:rPr>
          <w:sz w:val="28"/>
          <w:szCs w:val="28"/>
        </w:rPr>
      </w:pPr>
      <w:r w:rsidRPr="00700081">
        <w:rPr>
          <w:sz w:val="28"/>
          <w:szCs w:val="28"/>
        </w:rPr>
        <w:t xml:space="preserve">Также всеми разработчиками классификаций банковских рисков они делятся на </w:t>
      </w:r>
      <w:r w:rsidRPr="00700081">
        <w:rPr>
          <w:i/>
          <w:iCs/>
          <w:sz w:val="28"/>
          <w:szCs w:val="28"/>
        </w:rPr>
        <w:t>внешние</w:t>
      </w:r>
      <w:r w:rsidRPr="00700081">
        <w:rPr>
          <w:sz w:val="28"/>
          <w:szCs w:val="28"/>
        </w:rPr>
        <w:t xml:space="preserve"> и </w:t>
      </w:r>
      <w:r w:rsidRPr="00700081">
        <w:rPr>
          <w:i/>
          <w:iCs/>
          <w:sz w:val="28"/>
          <w:szCs w:val="28"/>
        </w:rPr>
        <w:t>внутренние</w:t>
      </w:r>
      <w:r w:rsidRPr="00700081">
        <w:rPr>
          <w:sz w:val="28"/>
          <w:szCs w:val="28"/>
        </w:rPr>
        <w:t xml:space="preserve">. Однако здесь существует два подхода к делению. Одна группа специалистов выделяет внешние и внутренние риски, исходя из того, какие стороны банковской деятельности они охватывают[9, 318]. </w:t>
      </w:r>
    </w:p>
    <w:p w:rsidR="00AF17D6" w:rsidRPr="00700081" w:rsidRDefault="00AF17D6" w:rsidP="00700081">
      <w:pPr>
        <w:spacing w:line="360" w:lineRule="auto"/>
        <w:jc w:val="both"/>
        <w:rPr>
          <w:sz w:val="28"/>
          <w:szCs w:val="28"/>
        </w:rPr>
      </w:pPr>
    </w:p>
    <w:p w:rsidR="00FA64C4" w:rsidRDefault="00FA64C4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Pr="00BB4123" w:rsidRDefault="00BB4123" w:rsidP="00BB4123">
      <w:pPr>
        <w:spacing w:line="360" w:lineRule="auto"/>
        <w:jc w:val="both"/>
        <w:rPr>
          <w:sz w:val="28"/>
          <w:szCs w:val="28"/>
        </w:rPr>
      </w:pPr>
    </w:p>
    <w:p w:rsidR="00BB4123" w:rsidRPr="00BB4123" w:rsidRDefault="00BB4123" w:rsidP="00BB4123">
      <w:pPr>
        <w:spacing w:line="360" w:lineRule="auto"/>
        <w:jc w:val="both"/>
        <w:rPr>
          <w:sz w:val="28"/>
          <w:szCs w:val="28"/>
        </w:rPr>
      </w:pPr>
    </w:p>
    <w:p w:rsidR="00BB4123" w:rsidRPr="00BB4123" w:rsidRDefault="00BB4123" w:rsidP="00BB4123">
      <w:pPr>
        <w:spacing w:line="360" w:lineRule="auto"/>
        <w:jc w:val="center"/>
        <w:rPr>
          <w:b/>
          <w:sz w:val="32"/>
          <w:szCs w:val="32"/>
        </w:rPr>
      </w:pPr>
      <w:r w:rsidRPr="00BB4123">
        <w:rPr>
          <w:b/>
          <w:sz w:val="32"/>
          <w:szCs w:val="32"/>
        </w:rPr>
        <w:t>Список литературы:</w:t>
      </w:r>
    </w:p>
    <w:p w:rsidR="00BB4123" w:rsidRPr="00BB4123" w:rsidRDefault="00BB4123" w:rsidP="00BB4123">
      <w:pPr>
        <w:spacing w:line="360" w:lineRule="auto"/>
        <w:jc w:val="both"/>
        <w:rPr>
          <w:sz w:val="28"/>
          <w:szCs w:val="28"/>
        </w:rPr>
      </w:pPr>
    </w:p>
    <w:p w:rsidR="00BB4123" w:rsidRPr="00BB4123" w:rsidRDefault="00BB4123" w:rsidP="00BB4123">
      <w:pPr>
        <w:spacing w:line="360" w:lineRule="auto"/>
        <w:jc w:val="both"/>
        <w:rPr>
          <w:sz w:val="28"/>
          <w:szCs w:val="28"/>
        </w:rPr>
      </w:pPr>
      <w:r w:rsidRPr="00BB4123">
        <w:rPr>
          <w:sz w:val="28"/>
          <w:szCs w:val="28"/>
        </w:rPr>
        <w:t>1. Долгушина Ю.Б. Лизинг. М.: Бератор-Пресс, 2002. – 128 с.</w:t>
      </w:r>
    </w:p>
    <w:p w:rsidR="00BB4123" w:rsidRPr="00BB4123" w:rsidRDefault="00BB4123" w:rsidP="00BB4123">
      <w:pPr>
        <w:spacing w:line="360" w:lineRule="auto"/>
        <w:jc w:val="both"/>
        <w:rPr>
          <w:sz w:val="28"/>
          <w:szCs w:val="28"/>
        </w:rPr>
      </w:pPr>
    </w:p>
    <w:p w:rsidR="00BB4123" w:rsidRPr="00BB4123" w:rsidRDefault="00BB4123" w:rsidP="00BB4123">
      <w:pPr>
        <w:spacing w:line="360" w:lineRule="auto"/>
        <w:jc w:val="both"/>
        <w:rPr>
          <w:sz w:val="28"/>
          <w:szCs w:val="28"/>
        </w:rPr>
      </w:pPr>
      <w:r w:rsidRPr="00BB4123">
        <w:rPr>
          <w:sz w:val="28"/>
          <w:szCs w:val="28"/>
        </w:rPr>
        <w:t xml:space="preserve">2. Лапыгин Ю.Н., Сокольских Е.В. Лизинг. М.: Академический Проект: Альма Матер, 2005. – 432 с. </w:t>
      </w:r>
    </w:p>
    <w:p w:rsidR="00BB4123" w:rsidRPr="00BB4123" w:rsidRDefault="00BB4123" w:rsidP="00BB4123">
      <w:pPr>
        <w:spacing w:line="360" w:lineRule="auto"/>
        <w:jc w:val="both"/>
        <w:rPr>
          <w:sz w:val="28"/>
          <w:szCs w:val="28"/>
        </w:rPr>
      </w:pPr>
    </w:p>
    <w:p w:rsidR="00BB4123" w:rsidRPr="00BB4123" w:rsidRDefault="00BB4123" w:rsidP="00BB4123">
      <w:pPr>
        <w:spacing w:line="360" w:lineRule="auto"/>
        <w:jc w:val="both"/>
        <w:rPr>
          <w:sz w:val="28"/>
          <w:szCs w:val="28"/>
        </w:rPr>
      </w:pPr>
      <w:r w:rsidRPr="00BB4123">
        <w:rPr>
          <w:sz w:val="28"/>
          <w:szCs w:val="28"/>
        </w:rPr>
        <w:t>3. Философова Т.Г. Лизинг. М.: ЮНИТИ-ДАНА, 2006. – 191 с.</w:t>
      </w:r>
    </w:p>
    <w:p w:rsidR="00BB4123" w:rsidRPr="00BB4123" w:rsidRDefault="00BB4123" w:rsidP="00BB4123">
      <w:pPr>
        <w:spacing w:line="360" w:lineRule="auto"/>
        <w:jc w:val="both"/>
        <w:rPr>
          <w:sz w:val="28"/>
          <w:szCs w:val="28"/>
        </w:rPr>
      </w:pPr>
    </w:p>
    <w:p w:rsidR="00BB4123" w:rsidRPr="00BB4123" w:rsidRDefault="00BB4123" w:rsidP="00BB4123">
      <w:pPr>
        <w:spacing w:line="360" w:lineRule="auto"/>
        <w:jc w:val="both"/>
        <w:rPr>
          <w:sz w:val="28"/>
          <w:szCs w:val="28"/>
        </w:rPr>
      </w:pPr>
      <w:r w:rsidRPr="00BB4123">
        <w:rPr>
          <w:sz w:val="28"/>
          <w:szCs w:val="28"/>
        </w:rPr>
        <w:t>4. Шабашев В.А., Федулова Е.А., Кошкин А.В. Лизинг: основы теории и практики. М.: КНОРУС, 2004. –192с.</w:t>
      </w:r>
    </w:p>
    <w:p w:rsidR="00BB4123" w:rsidRPr="00BB4123" w:rsidRDefault="00BB4123" w:rsidP="00BB4123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Default="00BB4123" w:rsidP="00700081">
      <w:pPr>
        <w:spacing w:line="360" w:lineRule="auto"/>
        <w:jc w:val="both"/>
        <w:rPr>
          <w:sz w:val="28"/>
          <w:szCs w:val="28"/>
        </w:rPr>
      </w:pPr>
    </w:p>
    <w:p w:rsidR="00BB4123" w:rsidRPr="00700081" w:rsidRDefault="00BB4123" w:rsidP="00700081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BB4123" w:rsidRPr="00700081" w:rsidSect="00BB4123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FE2" w:rsidRDefault="00071FE2" w:rsidP="00BB4123">
      <w:r>
        <w:separator/>
      </w:r>
    </w:p>
  </w:endnote>
  <w:endnote w:type="continuationSeparator" w:id="0">
    <w:p w:rsidR="00071FE2" w:rsidRDefault="00071FE2" w:rsidP="00BB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123" w:rsidRDefault="00BB412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1F28">
      <w:rPr>
        <w:noProof/>
      </w:rPr>
      <w:t>2</w:t>
    </w:r>
    <w:r>
      <w:fldChar w:fldCharType="end"/>
    </w:r>
  </w:p>
  <w:p w:rsidR="00BB4123" w:rsidRDefault="00BB41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FE2" w:rsidRDefault="00071FE2" w:rsidP="00BB4123">
      <w:r>
        <w:separator/>
      </w:r>
    </w:p>
  </w:footnote>
  <w:footnote w:type="continuationSeparator" w:id="0">
    <w:p w:rsidR="00071FE2" w:rsidRDefault="00071FE2" w:rsidP="00BB4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86D36"/>
    <w:multiLevelType w:val="hybridMultilevel"/>
    <w:tmpl w:val="B56A12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C911BF"/>
    <w:multiLevelType w:val="hybridMultilevel"/>
    <w:tmpl w:val="1764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51AAF"/>
    <w:multiLevelType w:val="hybridMultilevel"/>
    <w:tmpl w:val="E2EE7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7D6"/>
    <w:rsid w:val="00071FE2"/>
    <w:rsid w:val="00137B87"/>
    <w:rsid w:val="001B2D18"/>
    <w:rsid w:val="00700081"/>
    <w:rsid w:val="0096061A"/>
    <w:rsid w:val="00A01F28"/>
    <w:rsid w:val="00AF111B"/>
    <w:rsid w:val="00AF17D6"/>
    <w:rsid w:val="00B81EB4"/>
    <w:rsid w:val="00BB4123"/>
    <w:rsid w:val="00CA040A"/>
    <w:rsid w:val="00FA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61DABB30-0EC3-48C2-BD29-53BE51FB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7D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B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B8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000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41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B41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41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B41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41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Mordor</Company>
  <LinksUpToDate>false</LinksUpToDate>
  <CharactersWithSpaces>17047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Goblin</dc:creator>
  <cp:keywords/>
  <dc:description/>
  <cp:lastModifiedBy>admin</cp:lastModifiedBy>
  <cp:revision>2</cp:revision>
  <dcterms:created xsi:type="dcterms:W3CDTF">2014-04-15T16:16:00Z</dcterms:created>
  <dcterms:modified xsi:type="dcterms:W3CDTF">2014-04-15T16:16:00Z</dcterms:modified>
</cp:coreProperties>
</file>