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Кафедра клинической фармакологии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Зав. кафедрой проф. Н.Б. Сидоренкова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Преподаватель Пронина Н.В.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ПРОТОКОЛ ОЦЕНКИ ЭФФЕКТИВНОСТИ И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БЕЗОПАСНОСТИ ФАРМАКОТЕРАПИИ</w:t>
      </w:r>
    </w:p>
    <w:p w:rsidR="006E2002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92C" w:rsidRPr="002F492C" w:rsidRDefault="002F492C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Ds</w:t>
      </w:r>
      <w:r w:rsidRPr="002F492C">
        <w:rPr>
          <w:color w:val="000000"/>
          <w:sz w:val="28"/>
          <w:szCs w:val="28"/>
        </w:rPr>
        <w:t>: Ювенильный ревматоидный артрит, висцеро-суставная форма (с поражением суставов и сердца), прогрессирующий характер, серопозитивный, высокая степень активности. Полиартикулярное поражение. Ревматический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кардит.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Выполнила студентка 632 группы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Рожкова О.А.</w:t>
      </w: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E2002" w:rsidRPr="002F492C" w:rsidRDefault="006E2002" w:rsidP="002F492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>-Барнаул-2007-</w:t>
      </w:r>
    </w:p>
    <w:p w:rsidR="005A516A" w:rsidRPr="002F492C" w:rsidRDefault="006E2002" w:rsidP="002F492C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br w:type="page"/>
      </w:r>
      <w:r w:rsidR="005A516A" w:rsidRPr="002F492C">
        <w:rPr>
          <w:color w:val="000000"/>
          <w:sz w:val="28"/>
          <w:szCs w:val="28"/>
          <w:u w:val="single"/>
        </w:rPr>
        <w:t>ФИО больного</w:t>
      </w:r>
      <w:r w:rsidR="005A516A" w:rsidRPr="002F492C">
        <w:rPr>
          <w:color w:val="000000"/>
          <w:sz w:val="28"/>
          <w:szCs w:val="28"/>
        </w:rPr>
        <w:t>: Т</w:t>
      </w:r>
    </w:p>
    <w:p w:rsidR="005A516A" w:rsidRPr="002F492C" w:rsidRDefault="005A516A" w:rsidP="002F492C">
      <w:pPr>
        <w:shd w:val="clear" w:color="auto" w:fill="FFFFFF"/>
        <w:tabs>
          <w:tab w:val="left" w:pos="528"/>
          <w:tab w:val="left" w:leader="underscore" w:pos="24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Возраст</w:t>
      </w:r>
      <w:r w:rsidRPr="002F492C">
        <w:rPr>
          <w:color w:val="000000"/>
          <w:sz w:val="28"/>
          <w:szCs w:val="28"/>
        </w:rPr>
        <w:t>: 10 лет</w:t>
      </w:r>
    </w:p>
    <w:p w:rsidR="005A516A" w:rsidRPr="002F492C" w:rsidRDefault="005A516A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Жалобы</w:t>
      </w:r>
      <w:r w:rsidRPr="002F492C">
        <w:rPr>
          <w:color w:val="000000"/>
          <w:sz w:val="28"/>
          <w:szCs w:val="28"/>
        </w:rPr>
        <w:t>: утренняя скованность, ограничение подвижности и выраженные боли в лучезапястных суставах и мелких суставах обеих кистей.</w:t>
      </w:r>
    </w:p>
    <w:p w:rsidR="005A516A" w:rsidRPr="002F492C" w:rsidRDefault="005A516A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Анамнез заболевания:</w:t>
      </w:r>
      <w:r w:rsidRPr="002F492C">
        <w:rPr>
          <w:color w:val="000000"/>
          <w:sz w:val="28"/>
          <w:szCs w:val="28"/>
        </w:rPr>
        <w:t xml:space="preserve"> болеет 3 года, в амбулаторных условиях получал </w:t>
      </w:r>
      <w:r w:rsidR="00B52604" w:rsidRPr="002F492C">
        <w:rPr>
          <w:color w:val="000000"/>
          <w:sz w:val="28"/>
          <w:szCs w:val="28"/>
        </w:rPr>
        <w:t xml:space="preserve">внутрь </w:t>
      </w:r>
      <w:r w:rsidRPr="002F492C">
        <w:rPr>
          <w:color w:val="000000"/>
          <w:sz w:val="28"/>
          <w:szCs w:val="28"/>
        </w:rPr>
        <w:t>ибупрофен или диклофенак, физиопроцедуры, санаторно-курортное лечение. Состояние больного ухудшилось около 2 недель назад.</w:t>
      </w:r>
    </w:p>
    <w:p w:rsidR="005A516A" w:rsidRPr="002F492C" w:rsidRDefault="005A516A" w:rsidP="002F492C">
      <w:pPr>
        <w:shd w:val="clear" w:color="auto" w:fill="FFFFFF"/>
        <w:tabs>
          <w:tab w:val="left" w:pos="533"/>
          <w:tab w:val="left" w:leader="underscore" w:pos="8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Данные объективного исследования</w:t>
      </w:r>
      <w:r w:rsidRPr="002F492C">
        <w:rPr>
          <w:color w:val="000000"/>
          <w:sz w:val="28"/>
          <w:szCs w:val="28"/>
        </w:rPr>
        <w:t>: в области левого лучезапястного сустава обнаружены теносоновит и сгибательная контрактура.</w:t>
      </w:r>
    </w:p>
    <w:p w:rsidR="005A516A" w:rsidRPr="002F492C" w:rsidRDefault="005A516A" w:rsidP="002F49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Данные дополнительных исследований</w:t>
      </w:r>
      <w:r w:rsidRPr="002F492C">
        <w:rPr>
          <w:color w:val="000000"/>
          <w:sz w:val="28"/>
          <w:szCs w:val="28"/>
        </w:rPr>
        <w:t xml:space="preserve">: СОЭ=46мм/час, наличие в сыворотке высоких концентраций С-реактивного белка и ревматоидного фактора; гипергаммаглобулинемия, гипоальбуминемия, увеличение титра </w:t>
      </w:r>
      <w:r w:rsidRPr="002F492C">
        <w:rPr>
          <w:color w:val="000000"/>
          <w:sz w:val="28"/>
          <w:szCs w:val="28"/>
          <w:lang w:val="en-US"/>
        </w:rPr>
        <w:t>Ig</w:t>
      </w:r>
      <w:r w:rsidRPr="002F492C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  <w:lang w:val="en-US"/>
        </w:rPr>
        <w:t>M</w:t>
      </w:r>
      <w:r w:rsidRPr="002F492C">
        <w:rPr>
          <w:color w:val="000000"/>
          <w:sz w:val="28"/>
          <w:szCs w:val="28"/>
        </w:rPr>
        <w:t>; увеличение скорости реполяризации и снижение сократительной активности миокарда левого желудочка.</w:t>
      </w:r>
    </w:p>
    <w:p w:rsidR="002F492C" w:rsidRDefault="002F492C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2F492C" w:rsidRPr="002F492C" w:rsidRDefault="005A516A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Клини</w:t>
      </w:r>
      <w:r w:rsidR="00DB59CA" w:rsidRPr="002F492C">
        <w:rPr>
          <w:b/>
          <w:bCs/>
          <w:color w:val="000000"/>
          <w:sz w:val="28"/>
          <w:szCs w:val="28"/>
        </w:rPr>
        <w:t>ческий диагноз</w:t>
      </w:r>
    </w:p>
    <w:p w:rsidR="002F492C" w:rsidRDefault="002F492C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CA" w:rsidRPr="002F492C" w:rsidRDefault="001675ED" w:rsidP="002F492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Ювенильный ревматоидный артрит, висцеро-суставная форма</w:t>
      </w:r>
      <w:r w:rsidR="00DB59CA" w:rsidRPr="002F492C">
        <w:rPr>
          <w:color w:val="000000"/>
          <w:sz w:val="28"/>
          <w:szCs w:val="28"/>
        </w:rPr>
        <w:t xml:space="preserve"> (с поражением суставов и сердца), прогрессирующий характер, серопозитивный, высокая степень активности. Полиартикулярное поражение. Ревматический</w:t>
      </w:r>
      <w:r w:rsidR="00A54C9E">
        <w:rPr>
          <w:color w:val="000000"/>
          <w:sz w:val="28"/>
          <w:szCs w:val="28"/>
        </w:rPr>
        <w:t xml:space="preserve"> </w:t>
      </w:r>
      <w:r w:rsidR="00DB59CA" w:rsidRPr="002F492C">
        <w:rPr>
          <w:color w:val="000000"/>
          <w:sz w:val="28"/>
          <w:szCs w:val="28"/>
        </w:rPr>
        <w:t>кардит.</w:t>
      </w:r>
    </w:p>
    <w:p w:rsidR="00E97AA0" w:rsidRPr="002F492C" w:rsidRDefault="00DB59CA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F492C">
        <w:rPr>
          <w:color w:val="000000"/>
          <w:sz w:val="28"/>
          <w:szCs w:val="28"/>
          <w:u w:val="single"/>
        </w:rPr>
        <w:t>Обоснование клинического диагноза:</w:t>
      </w:r>
      <w:r w:rsidR="00A54C9E">
        <w:rPr>
          <w:color w:val="000000"/>
          <w:sz w:val="28"/>
          <w:szCs w:val="28"/>
        </w:rPr>
        <w:t xml:space="preserve"> </w:t>
      </w:r>
      <w:r w:rsidR="00E97AA0" w:rsidRPr="002F492C">
        <w:rPr>
          <w:color w:val="000000"/>
          <w:sz w:val="28"/>
          <w:szCs w:val="28"/>
        </w:rPr>
        <w:t>н</w:t>
      </w:r>
      <w:r w:rsidR="00F41120" w:rsidRPr="002F492C">
        <w:rPr>
          <w:sz w:val="28"/>
          <w:szCs w:val="28"/>
        </w:rPr>
        <w:t>а основании жалоб больного на утреннюю скованность,ограничение подвижности, выраженные боли</w:t>
      </w:r>
      <w:r w:rsidR="00F41120" w:rsidRPr="002F492C">
        <w:rPr>
          <w:color w:val="000000"/>
          <w:sz w:val="28"/>
          <w:szCs w:val="28"/>
        </w:rPr>
        <w:t xml:space="preserve"> в лучезапястных суставах и мелких суставах обеих кистей, можно сказать, </w:t>
      </w:r>
      <w:r w:rsidR="00F41120" w:rsidRPr="002F492C">
        <w:rPr>
          <w:sz w:val="28"/>
          <w:szCs w:val="28"/>
        </w:rPr>
        <w:t xml:space="preserve">что в патологический процесс вовлечена </w:t>
      </w:r>
      <w:r w:rsidR="00F41120" w:rsidRPr="002F492C">
        <w:rPr>
          <w:sz w:val="28"/>
          <w:szCs w:val="28"/>
          <w:u w:val="single"/>
        </w:rPr>
        <w:t>костно-суставная система.</w:t>
      </w:r>
    </w:p>
    <w:p w:rsidR="00360050" w:rsidRPr="002F492C" w:rsidRDefault="00360050" w:rsidP="002F492C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sz w:val="28"/>
          <w:szCs w:val="28"/>
        </w:rPr>
        <w:t>О</w:t>
      </w:r>
      <w:r w:rsidR="00F41120" w:rsidRPr="002F492C">
        <w:rPr>
          <w:sz w:val="28"/>
          <w:szCs w:val="28"/>
        </w:rPr>
        <w:t>пираясь на</w:t>
      </w:r>
      <w:r w:rsidRPr="002F492C">
        <w:rPr>
          <w:sz w:val="28"/>
          <w:szCs w:val="28"/>
        </w:rPr>
        <w:t xml:space="preserve"> наличие</w:t>
      </w:r>
      <w:r w:rsidR="00F41120" w:rsidRPr="002F492C">
        <w:rPr>
          <w:sz w:val="28"/>
          <w:szCs w:val="28"/>
        </w:rPr>
        <w:t xml:space="preserve"> диагностически</w:t>
      </w:r>
      <w:r w:rsidRPr="002F492C">
        <w:rPr>
          <w:sz w:val="28"/>
          <w:szCs w:val="28"/>
        </w:rPr>
        <w:t>х</w:t>
      </w:r>
      <w:r w:rsidR="00F41120" w:rsidRPr="002F492C">
        <w:rPr>
          <w:sz w:val="28"/>
          <w:szCs w:val="28"/>
        </w:rPr>
        <w:t xml:space="preserve"> критери</w:t>
      </w:r>
      <w:r w:rsidRPr="002F492C">
        <w:rPr>
          <w:sz w:val="28"/>
          <w:szCs w:val="28"/>
        </w:rPr>
        <w:t>ев</w:t>
      </w:r>
      <w:r w:rsidR="00F41120" w:rsidRPr="002F492C">
        <w:rPr>
          <w:sz w:val="28"/>
          <w:szCs w:val="28"/>
        </w:rPr>
        <w:t xml:space="preserve"> ревматоидного артрита (Американская ревматологическая ассоциация, 1987 г</w:t>
      </w:r>
      <w:r w:rsidRPr="002F492C">
        <w:rPr>
          <w:sz w:val="28"/>
          <w:szCs w:val="28"/>
        </w:rPr>
        <w:t>.):</w:t>
      </w:r>
    </w:p>
    <w:p w:rsidR="00360050" w:rsidRPr="002F492C" w:rsidRDefault="00360050" w:rsidP="002F492C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Утренняя скованность в течение нескольких часов.</w:t>
      </w:r>
    </w:p>
    <w:p w:rsidR="00360050" w:rsidRPr="002F492C" w:rsidRDefault="00360050" w:rsidP="002F492C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Боль в суставах (причина - отек сустава, раздражение синовиальной оболочки, некротизирующий артериит). Боль может быть постоянной или периодической.</w:t>
      </w:r>
    </w:p>
    <w:p w:rsidR="00360050" w:rsidRPr="002F492C" w:rsidRDefault="00360050" w:rsidP="002F492C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Припухлость в области суставов. Характерен полиатрит, должно быть поражение более не менее двух суставов. Типично поражение лучезапястных суставов, пястно-фаланговых, голеностопных, височных.</w:t>
      </w:r>
    </w:p>
    <w:p w:rsidR="00360050" w:rsidRPr="002F492C" w:rsidRDefault="00360050" w:rsidP="002F492C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Симметричность поражения.</w:t>
      </w:r>
    </w:p>
    <w:p w:rsidR="00360050" w:rsidRPr="002F492C" w:rsidRDefault="00360050" w:rsidP="002F492C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Обнаружение ревматоидного фактора в сыворотке крови и синовиальной жидкости.</w:t>
      </w:r>
    </w:p>
    <w:p w:rsidR="00360050" w:rsidRPr="002F492C" w:rsidRDefault="00360050" w:rsidP="002F492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Синовит может быть обратимым или прогрессировать и приводить к анкилозированию сустава.</w:t>
      </w:r>
    </w:p>
    <w:p w:rsidR="00F41120" w:rsidRPr="002F492C" w:rsidRDefault="00360050" w:rsidP="002F492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Морфологические признаки поражения внутренних органов.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Можно поставить диагноз </w:t>
      </w:r>
      <w:r w:rsidRPr="002F492C">
        <w:rPr>
          <w:sz w:val="28"/>
          <w:szCs w:val="28"/>
          <w:u w:val="single"/>
        </w:rPr>
        <w:t>ревматоидного артрита</w:t>
      </w:r>
      <w:r w:rsidRPr="002F492C">
        <w:rPr>
          <w:sz w:val="28"/>
          <w:szCs w:val="28"/>
        </w:rPr>
        <w:t>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sz w:val="28"/>
          <w:szCs w:val="28"/>
          <w:u w:val="single"/>
        </w:rPr>
        <w:t>Висцеро-суставная форма</w:t>
      </w:r>
      <w:r w:rsidRPr="002F492C">
        <w:rPr>
          <w:sz w:val="28"/>
          <w:szCs w:val="28"/>
        </w:rPr>
        <w:t xml:space="preserve"> на основании жалоб,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 xml:space="preserve">объективных данных и данных дополнительных методов исследования: </w:t>
      </w:r>
      <w:r w:rsidRPr="002F492C">
        <w:rPr>
          <w:color w:val="000000"/>
          <w:sz w:val="28"/>
          <w:szCs w:val="28"/>
        </w:rPr>
        <w:t>утренняя скованность, ограничение подвижности и выраженные боли в лучезапястных суставах и мелких суставах обеих кистей, в области левого лучезапястного сустава обнаружены теносоновит и сгибательная контрактура,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 xml:space="preserve">увеличение скорости реполяризации и снижение сократительной активности миокарда левого желудочка; что свидетельствует о </w:t>
      </w:r>
      <w:r w:rsidRPr="002F492C">
        <w:rPr>
          <w:color w:val="000000"/>
          <w:sz w:val="28"/>
          <w:szCs w:val="28"/>
          <w:u w:val="single"/>
        </w:rPr>
        <w:t>полиартикулярном поражении</w:t>
      </w:r>
      <w:r w:rsidRPr="002F492C">
        <w:rPr>
          <w:color w:val="000000"/>
          <w:sz w:val="28"/>
          <w:szCs w:val="28"/>
        </w:rPr>
        <w:t xml:space="preserve"> и наличии </w:t>
      </w:r>
      <w:r w:rsidRPr="002F492C">
        <w:rPr>
          <w:color w:val="000000"/>
          <w:sz w:val="28"/>
          <w:szCs w:val="28"/>
          <w:u w:val="single"/>
        </w:rPr>
        <w:t>кардита</w:t>
      </w:r>
      <w:r w:rsidRPr="002F492C">
        <w:rPr>
          <w:color w:val="000000"/>
          <w:sz w:val="28"/>
          <w:szCs w:val="28"/>
        </w:rPr>
        <w:t>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 xml:space="preserve">Характер заболевания </w:t>
      </w:r>
      <w:r w:rsidRPr="002F492C">
        <w:rPr>
          <w:color w:val="000000"/>
          <w:sz w:val="28"/>
          <w:szCs w:val="28"/>
          <w:u w:val="single"/>
        </w:rPr>
        <w:t>прогрессирующий</w:t>
      </w:r>
      <w:r w:rsidRPr="002F492C">
        <w:rPr>
          <w:color w:val="000000"/>
          <w:sz w:val="28"/>
          <w:szCs w:val="28"/>
        </w:rPr>
        <w:t>, на основании того, что предшествующая терапия НПВС в настоящее время эффекта не дает.</w:t>
      </w:r>
    </w:p>
    <w:p w:rsidR="00360050" w:rsidRPr="002F492C" w:rsidRDefault="0036005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Серопозитивная форма</w:t>
      </w:r>
      <w:r w:rsidRPr="002F492C">
        <w:rPr>
          <w:color w:val="000000"/>
          <w:sz w:val="28"/>
          <w:szCs w:val="28"/>
        </w:rPr>
        <w:t xml:space="preserve"> заболевания на основании обнаружения </w:t>
      </w:r>
      <w:r w:rsidR="00E97AA0" w:rsidRPr="002F492C">
        <w:rPr>
          <w:color w:val="000000"/>
          <w:sz w:val="28"/>
          <w:szCs w:val="28"/>
        </w:rPr>
        <w:t>ревматоидного фактора в сыворотке</w:t>
      </w:r>
      <w:r w:rsidR="00A54C9E">
        <w:rPr>
          <w:color w:val="000000"/>
          <w:sz w:val="28"/>
          <w:szCs w:val="28"/>
        </w:rPr>
        <w:t xml:space="preserve"> </w:t>
      </w:r>
      <w:r w:rsidR="00E97AA0" w:rsidRPr="002F492C">
        <w:rPr>
          <w:color w:val="000000"/>
          <w:sz w:val="28"/>
          <w:szCs w:val="28"/>
        </w:rPr>
        <w:t>крови</w:t>
      </w:r>
      <w:r w:rsidR="00A54C9E">
        <w:rPr>
          <w:color w:val="000000"/>
          <w:sz w:val="28"/>
          <w:szCs w:val="28"/>
        </w:rPr>
        <w:t xml:space="preserve"> </w:t>
      </w:r>
      <w:r w:rsidR="00E97AA0" w:rsidRPr="002F492C">
        <w:rPr>
          <w:color w:val="000000"/>
          <w:sz w:val="28"/>
          <w:szCs w:val="28"/>
        </w:rPr>
        <w:t>больного.</w:t>
      </w:r>
    </w:p>
    <w:p w:rsidR="00E97AA0" w:rsidRPr="002F492C" w:rsidRDefault="00E97AA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u w:val="single"/>
        </w:rPr>
        <w:t>Степень активности</w:t>
      </w:r>
      <w:r w:rsidRPr="002F492C">
        <w:rPr>
          <w:color w:val="000000"/>
          <w:sz w:val="28"/>
          <w:szCs w:val="28"/>
        </w:rPr>
        <w:t xml:space="preserve"> ревматоидного артрита у больного </w:t>
      </w:r>
      <w:r w:rsidRPr="002F492C">
        <w:rPr>
          <w:color w:val="000000"/>
          <w:sz w:val="28"/>
          <w:szCs w:val="28"/>
          <w:u w:val="single"/>
        </w:rPr>
        <w:t>высокая</w:t>
      </w:r>
      <w:r w:rsidRPr="002F492C">
        <w:rPr>
          <w:color w:val="000000"/>
          <w:sz w:val="28"/>
          <w:szCs w:val="28"/>
        </w:rPr>
        <w:t xml:space="preserve"> на основании: СОЭ=46мм/час, наличие в сыворотке высоких концентраций С-реактивного белка и ревматоидного фактора; гипергаммаглобулинемия, гипоальбуминемия, увеличение титра </w:t>
      </w:r>
      <w:r w:rsidRPr="002F492C">
        <w:rPr>
          <w:color w:val="000000"/>
          <w:sz w:val="28"/>
          <w:szCs w:val="28"/>
          <w:lang w:val="en-US"/>
        </w:rPr>
        <w:t>Ig</w:t>
      </w:r>
      <w:r w:rsidRPr="002F492C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  <w:lang w:val="en-US"/>
        </w:rPr>
        <w:t>M</w:t>
      </w:r>
      <w:r w:rsidRPr="002F492C">
        <w:rPr>
          <w:color w:val="000000"/>
          <w:sz w:val="28"/>
          <w:szCs w:val="28"/>
        </w:rPr>
        <w:t>; а также данных, свидетельствующих о поражении висцеральных органов (кардит).</w:t>
      </w:r>
    </w:p>
    <w:p w:rsidR="00FF384B" w:rsidRPr="002F492C" w:rsidRDefault="00FF384B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92C">
        <w:rPr>
          <w:b/>
          <w:bCs/>
          <w:sz w:val="28"/>
          <w:szCs w:val="28"/>
        </w:rPr>
        <w:t>Этиология и патогенез ревматоидного артрита</w:t>
      </w:r>
      <w:r w:rsidRPr="002F492C">
        <w:rPr>
          <w:sz w:val="28"/>
          <w:szCs w:val="28"/>
        </w:rPr>
        <w:t xml:space="preserve"> остаются неясными. Однако показано, что при этом заболевании появляются </w:t>
      </w:r>
      <w:bookmarkStart w:id="0" w:name="000626bf.htm"/>
      <w:bookmarkEnd w:id="0"/>
      <w:r w:rsidRPr="00266345">
        <w:rPr>
          <w:sz w:val="28"/>
          <w:szCs w:val="28"/>
        </w:rPr>
        <w:t>антитела, направленные против белков теплового шока</w:t>
      </w:r>
      <w:r w:rsidRPr="002F492C">
        <w:rPr>
          <w:sz w:val="28"/>
          <w:szCs w:val="28"/>
        </w:rPr>
        <w:t xml:space="preserve"> . Известно, что </w:t>
      </w:r>
      <w:bookmarkStart w:id="1" w:name="00090f8d.htm"/>
      <w:bookmarkEnd w:id="1"/>
      <w:r w:rsidRPr="00266345">
        <w:rPr>
          <w:sz w:val="28"/>
          <w:szCs w:val="28"/>
        </w:rPr>
        <w:t>белки теплового шока</w:t>
      </w:r>
      <w:r w:rsidRPr="002F492C">
        <w:rPr>
          <w:sz w:val="28"/>
          <w:szCs w:val="28"/>
        </w:rPr>
        <w:t xml:space="preserve"> появляются на поверхности клеток синовиальной оболочки при </w:t>
      </w:r>
      <w:bookmarkStart w:id="2" w:name="0010e7b7.htm"/>
      <w:bookmarkEnd w:id="2"/>
      <w:r w:rsidRPr="00266345">
        <w:rPr>
          <w:sz w:val="28"/>
          <w:szCs w:val="28"/>
        </w:rPr>
        <w:t>бактериальных инфекциях</w:t>
      </w:r>
      <w:r w:rsidRPr="002F492C">
        <w:rPr>
          <w:sz w:val="28"/>
          <w:szCs w:val="28"/>
        </w:rPr>
        <w:t xml:space="preserve"> . Возможно, антитела, направленные против бактерий, перекрестно реагируют с белками теплового шока, вызывая повреждение клеток синовиальной оболочки. Кроме того, многие микробы вызывают выработку </w:t>
      </w:r>
      <w:bookmarkStart w:id="3" w:name="00005ccb.htm"/>
      <w:bookmarkEnd w:id="3"/>
      <w:r w:rsidRPr="00266345">
        <w:rPr>
          <w:sz w:val="28"/>
          <w:szCs w:val="28"/>
        </w:rPr>
        <w:t>цитокинов</w:t>
      </w:r>
      <w:r w:rsidRPr="002F492C">
        <w:rPr>
          <w:sz w:val="28"/>
          <w:szCs w:val="28"/>
        </w:rPr>
        <w:t xml:space="preserve"> (</w:t>
      </w:r>
      <w:bookmarkStart w:id="4" w:name="00050a9d.htm"/>
      <w:bookmarkEnd w:id="4"/>
      <w:r w:rsidRPr="00266345">
        <w:rPr>
          <w:sz w:val="28"/>
          <w:szCs w:val="28"/>
        </w:rPr>
        <w:t>интерлейкина-1</w:t>
      </w:r>
      <w:r w:rsidRPr="002F492C">
        <w:rPr>
          <w:sz w:val="28"/>
          <w:szCs w:val="28"/>
        </w:rPr>
        <w:t xml:space="preserve"> , </w:t>
      </w:r>
      <w:bookmarkStart w:id="5" w:name="0010e635.htm"/>
      <w:bookmarkEnd w:id="5"/>
      <w:r w:rsidRPr="00266345">
        <w:rPr>
          <w:sz w:val="28"/>
          <w:szCs w:val="28"/>
        </w:rPr>
        <w:t>интерлейкина-6</w:t>
      </w:r>
      <w:r w:rsidRPr="002F492C">
        <w:rPr>
          <w:sz w:val="28"/>
          <w:szCs w:val="28"/>
        </w:rPr>
        <w:t xml:space="preserve"> , </w:t>
      </w:r>
      <w:bookmarkStart w:id="6" w:name="0010e652.htm"/>
      <w:bookmarkEnd w:id="6"/>
      <w:r w:rsidRPr="00266345">
        <w:rPr>
          <w:sz w:val="28"/>
          <w:szCs w:val="28"/>
        </w:rPr>
        <w:t>интерлейкина-8</w:t>
      </w:r>
      <w:r w:rsidRPr="002F492C">
        <w:rPr>
          <w:sz w:val="28"/>
          <w:szCs w:val="28"/>
        </w:rPr>
        <w:t xml:space="preserve"> , </w:t>
      </w:r>
      <w:bookmarkStart w:id="7" w:name="0006c408.htm"/>
      <w:bookmarkEnd w:id="7"/>
      <w:r w:rsidRPr="00266345">
        <w:rPr>
          <w:sz w:val="28"/>
          <w:szCs w:val="28"/>
        </w:rPr>
        <w:t>фактора некроза опухолей альфа</w:t>
      </w:r>
      <w:r w:rsidRPr="002F492C">
        <w:rPr>
          <w:sz w:val="28"/>
          <w:szCs w:val="28"/>
        </w:rPr>
        <w:t xml:space="preserve">), стимулирующих пролиферацию </w:t>
      </w:r>
      <w:bookmarkStart w:id="8" w:name="0011a6a5.htm"/>
      <w:bookmarkEnd w:id="8"/>
      <w:r w:rsidRPr="00266345">
        <w:rPr>
          <w:sz w:val="28"/>
          <w:szCs w:val="28"/>
        </w:rPr>
        <w:t>клеток синовиальной оболочки</w:t>
      </w:r>
      <w:r w:rsidRPr="002F492C">
        <w:rPr>
          <w:sz w:val="28"/>
          <w:szCs w:val="28"/>
        </w:rPr>
        <w:t xml:space="preserve"> и продукцию макрофатами протеаз (например, </w:t>
      </w:r>
      <w:bookmarkStart w:id="9" w:name="000666e0.htm"/>
      <w:bookmarkEnd w:id="9"/>
      <w:r w:rsidRPr="00266345">
        <w:rPr>
          <w:sz w:val="28"/>
          <w:szCs w:val="28"/>
        </w:rPr>
        <w:t>коллагеназ</w:t>
      </w:r>
      <w:r w:rsidRPr="002F492C">
        <w:rPr>
          <w:sz w:val="28"/>
          <w:szCs w:val="28"/>
        </w:rPr>
        <w:t xml:space="preserve"> ), повреждающих ее.</w:t>
      </w:r>
    </w:p>
    <w:p w:rsidR="00FF384B" w:rsidRPr="002F492C" w:rsidRDefault="00FF384B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Изменение структуры собственных белков приводит к появлению аутоантител (например, </w:t>
      </w:r>
      <w:bookmarkStart w:id="10" w:name="0016fa06.htm"/>
      <w:bookmarkEnd w:id="10"/>
      <w:r w:rsidRPr="00266345">
        <w:rPr>
          <w:sz w:val="28"/>
          <w:szCs w:val="28"/>
        </w:rPr>
        <w:t>ревматоидного фактора</w:t>
      </w:r>
      <w:r w:rsidRPr="002F492C">
        <w:rPr>
          <w:sz w:val="28"/>
          <w:szCs w:val="28"/>
        </w:rPr>
        <w:t xml:space="preserve">), которые усугубляют поражение синовиальной оболочки. Все эти процессы приводят к избыточной </w:t>
      </w:r>
      <w:bookmarkStart w:id="11" w:name="0018719a.htm"/>
      <w:bookmarkEnd w:id="11"/>
      <w:r w:rsidRPr="00266345">
        <w:rPr>
          <w:sz w:val="28"/>
          <w:szCs w:val="28"/>
        </w:rPr>
        <w:t>пролиферации синовиоцитов</w:t>
      </w:r>
      <w:r w:rsidRPr="002F492C">
        <w:rPr>
          <w:sz w:val="28"/>
          <w:szCs w:val="28"/>
        </w:rPr>
        <w:t xml:space="preserve">, </w:t>
      </w:r>
      <w:bookmarkStart w:id="12" w:name="001c58f9.htm"/>
      <w:bookmarkEnd w:id="12"/>
      <w:r w:rsidRPr="00266345">
        <w:rPr>
          <w:sz w:val="28"/>
          <w:szCs w:val="28"/>
        </w:rPr>
        <w:t>разрушению хряща</w:t>
      </w:r>
      <w:r w:rsidRPr="002F492C">
        <w:rPr>
          <w:sz w:val="28"/>
          <w:szCs w:val="28"/>
        </w:rPr>
        <w:t xml:space="preserve">, </w:t>
      </w:r>
      <w:bookmarkStart w:id="13" w:name="001221ac.htm"/>
      <w:bookmarkEnd w:id="13"/>
      <w:r w:rsidRPr="00266345">
        <w:rPr>
          <w:sz w:val="28"/>
          <w:szCs w:val="28"/>
        </w:rPr>
        <w:t>разрушению кости</w:t>
      </w:r>
      <w:r w:rsidRPr="002F492C">
        <w:rPr>
          <w:sz w:val="28"/>
          <w:szCs w:val="28"/>
        </w:rPr>
        <w:t xml:space="preserve"> и </w:t>
      </w:r>
      <w:bookmarkStart w:id="14" w:name="00191ced.htm"/>
      <w:bookmarkEnd w:id="14"/>
      <w:r w:rsidRPr="00266345">
        <w:rPr>
          <w:sz w:val="28"/>
          <w:szCs w:val="28"/>
        </w:rPr>
        <w:t>деформации сустава</w:t>
      </w:r>
      <w:r w:rsidRPr="002F492C">
        <w:rPr>
          <w:sz w:val="28"/>
          <w:szCs w:val="28"/>
        </w:rPr>
        <w:t xml:space="preserve"> .</w:t>
      </w:r>
    </w:p>
    <w:p w:rsidR="00CB2C3B" w:rsidRPr="002F492C" w:rsidRDefault="00CB2C3B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  <w:u w:val="single"/>
        </w:rPr>
        <w:t>Причина неэффективности проводимой терапии</w:t>
      </w:r>
      <w:r w:rsidRPr="002F492C">
        <w:rPr>
          <w:sz w:val="28"/>
          <w:szCs w:val="28"/>
        </w:rPr>
        <w:t>: НПВС редко полностью подавляют клиничекие проявления артрита, не влияют на прогрессирование повреждений суставов, вызывают побочные эффекты.</w:t>
      </w:r>
    </w:p>
    <w:p w:rsidR="002F492C" w:rsidRDefault="002F492C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41814" w:rsidRDefault="00D41814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План фармакотерапии для больного</w:t>
      </w:r>
    </w:p>
    <w:p w:rsidR="002F492C" w:rsidRPr="002F492C" w:rsidRDefault="002F492C" w:rsidP="002F49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1F9C" w:rsidRPr="002F492C" w:rsidRDefault="000F1F9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F492C">
        <w:rPr>
          <w:b/>
          <w:bCs/>
          <w:color w:val="000000"/>
          <w:sz w:val="28"/>
          <w:szCs w:val="28"/>
          <w:u w:val="single"/>
        </w:rPr>
        <w:t>Задачи терапии: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Определение показаний к фармакотерапии;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Выбор ЛС или комбинации ЛС;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Выбор путей и способов введения, а также форм выпуска ЛС;</w:t>
      </w:r>
    </w:p>
    <w:p w:rsidR="000F1F9C" w:rsidRPr="002F492C" w:rsidRDefault="000F1F9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Определение индивидуальной дозы и режима дозирования ЛС;</w:t>
      </w:r>
    </w:p>
    <w:p w:rsidR="000F1F9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Коррекция режимов дозирования ЛС в процессе лечения;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Выбор критериев, методов, средств, сроков контроля фармакотерапии;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Обоснование сроков и длительности терапии;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Определение показаний и технологии отмены ЛС.</w:t>
      </w:r>
    </w:p>
    <w:p w:rsidR="000E47AC" w:rsidRPr="002F492C" w:rsidRDefault="000E47A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F492C">
        <w:rPr>
          <w:b/>
          <w:bCs/>
          <w:color w:val="000000"/>
          <w:sz w:val="28"/>
          <w:szCs w:val="28"/>
          <w:u w:val="single"/>
        </w:rPr>
        <w:t>Цель терапии: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Уменьшение симптомов (недомогание, боли, отек и скованность суставов);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Предотвращение деструкции, нарушений функции и деформации суставов;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Сохранение качества жизни;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Достижение клинической ремиссии;</w:t>
      </w:r>
    </w:p>
    <w:p w:rsidR="000E47AC" w:rsidRPr="002F492C" w:rsidRDefault="000E47AC" w:rsidP="002F492C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Увеличение продолжительности жизни.</w:t>
      </w:r>
    </w:p>
    <w:p w:rsidR="000E47AC" w:rsidRPr="002F492C" w:rsidRDefault="000E47A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  <w:u w:val="single"/>
        </w:rPr>
        <w:t>Показания к фармакотерапии</w:t>
      </w:r>
      <w:r w:rsidRPr="002F492C">
        <w:rPr>
          <w:color w:val="000000"/>
          <w:sz w:val="28"/>
          <w:szCs w:val="28"/>
        </w:rPr>
        <w:t>.</w:t>
      </w:r>
    </w:p>
    <w:p w:rsidR="000E47AC" w:rsidRPr="002F492C" w:rsidRDefault="007C7484" w:rsidP="002F492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Заболевание ухудшает качество жизни больного;</w:t>
      </w:r>
    </w:p>
    <w:p w:rsidR="007C7484" w:rsidRPr="002F492C" w:rsidRDefault="007C7484" w:rsidP="002F492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Прогнозируемый исход зависит от применения ЛС;</w:t>
      </w:r>
    </w:p>
    <w:p w:rsidR="007C7484" w:rsidRPr="002F492C" w:rsidRDefault="007C7484" w:rsidP="002F492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Нелекарственные способы лечения неэффективны.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484" w:rsidRPr="002F492C" w:rsidRDefault="007C7484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Выбор фармакотерапии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7AC" w:rsidRPr="002F492C" w:rsidRDefault="00370EAB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color w:val="000000"/>
          <w:sz w:val="28"/>
          <w:szCs w:val="28"/>
        </w:rPr>
        <w:t xml:space="preserve">Учитывая, что терапия предшествующая НПВС не эффективна, следует выбрать базисную терапию. </w:t>
      </w:r>
      <w:r w:rsidR="00376134" w:rsidRPr="002F492C">
        <w:rPr>
          <w:sz w:val="28"/>
          <w:szCs w:val="28"/>
        </w:rPr>
        <w:t>Высокое содержание иммуноглобулинов, ЦИК может свидетельствовать или о малой макрофагальной реакции или увеличении активности процесса. В этом случае показано назначение иммуносупрессоров</w:t>
      </w:r>
      <w:r w:rsidR="00FF384B" w:rsidRPr="002F492C">
        <w:rPr>
          <w:sz w:val="28"/>
          <w:szCs w:val="28"/>
        </w:rPr>
        <w:t>, сульфаниламидных препаратов или производных хинолина</w:t>
      </w:r>
      <w:r w:rsidR="00376134" w:rsidRPr="002F492C">
        <w:rPr>
          <w:sz w:val="28"/>
          <w:szCs w:val="28"/>
        </w:rPr>
        <w:t>.</w:t>
      </w:r>
      <w:r w:rsidR="00FF384B" w:rsidRPr="002F492C">
        <w:rPr>
          <w:sz w:val="28"/>
          <w:szCs w:val="28"/>
        </w:rPr>
        <w:t xml:space="preserve"> Клиническая эффективность и замедление рентгенологического прогрессирования поражения суставов на фоне лечения </w:t>
      </w:r>
      <w:r w:rsidR="00C751D9" w:rsidRPr="002F492C">
        <w:rPr>
          <w:sz w:val="28"/>
          <w:szCs w:val="28"/>
        </w:rPr>
        <w:t>базисными</w:t>
      </w:r>
      <w:r w:rsidR="00FF384B" w:rsidRPr="002F492C">
        <w:rPr>
          <w:sz w:val="28"/>
          <w:szCs w:val="28"/>
        </w:rPr>
        <w:t xml:space="preserve"> препаратами в виде моно- или комбинированной терапии доказана плацебо-контролируемыми исследованиями.</w:t>
      </w:r>
    </w:p>
    <w:p w:rsidR="00FF384B" w:rsidRPr="002F492C" w:rsidRDefault="00FF384B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Метотрексат </w:t>
      </w:r>
      <w:r w:rsidR="00C751D9" w:rsidRPr="002F492C">
        <w:rPr>
          <w:sz w:val="28"/>
          <w:szCs w:val="28"/>
        </w:rPr>
        <w:t>в настоящее время рассматривается как золотой стандарт</w:t>
      </w:r>
      <w:r w:rsidR="00A54C9E">
        <w:rPr>
          <w:sz w:val="28"/>
          <w:szCs w:val="28"/>
        </w:rPr>
        <w:t xml:space="preserve"> </w:t>
      </w:r>
      <w:r w:rsidR="00C751D9" w:rsidRPr="002F492C">
        <w:rPr>
          <w:sz w:val="28"/>
          <w:szCs w:val="28"/>
        </w:rPr>
        <w:t xml:space="preserve">для лечения серопозитивного РА. По сравнению с другимим противоревматическими ЛС обладает наиболее приемлемым соотношением «эффективность-токсичность». Эффективность препарата при лечении РА колеблется в пределах 46-75%. В случае неэффективности терапии его можно комбинировать практически со всеми базисными противоревматическими средствами. </w:t>
      </w:r>
      <w:r w:rsidR="005F3356" w:rsidRPr="002F492C">
        <w:rPr>
          <w:sz w:val="28"/>
          <w:szCs w:val="28"/>
        </w:rPr>
        <w:t>Поскольку монотерапия базисными ЛС во многих случаях не позволяет контролировать прогрессирование РА, возможно их сочетанное использование. Наиболее хорошие результаты ныблюдаются при одномоментной комбинированной терапии метотрексатом+лефлюномид, или последовательная терапия метотрексат+ сульфасалазин+гидроксихлорохин (или метотрескат+циклоспорин А).</w:t>
      </w:r>
    </w:p>
    <w:p w:rsidR="00C66EF8" w:rsidRPr="002F492C" w:rsidRDefault="00C66EF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Терапия глюкокортикоидами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>позволяет снизить активность РА, пока не начнут действовать базисные препараты. Показаны при неэффективности НПВС. Терапия низкими дозами (&lt;10мг/сут) подавляет прогрессирование деструкции суставов.</w:t>
      </w:r>
    </w:p>
    <w:p w:rsidR="00C751D9" w:rsidRPr="002F492C" w:rsidRDefault="00C751D9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 xml:space="preserve">С целью уменьшения боли и воспаления в суставах в качестве симптоматической терапии </w:t>
      </w:r>
      <w:r w:rsidR="00C66EF8" w:rsidRPr="002F492C">
        <w:rPr>
          <w:sz w:val="28"/>
          <w:szCs w:val="28"/>
        </w:rPr>
        <w:t xml:space="preserve">можно </w:t>
      </w:r>
      <w:r w:rsidRPr="002F492C">
        <w:rPr>
          <w:sz w:val="28"/>
          <w:szCs w:val="28"/>
        </w:rPr>
        <w:t>назначить НПВС</w:t>
      </w:r>
      <w:r w:rsidR="00F65AC3" w:rsidRPr="002F492C">
        <w:rPr>
          <w:sz w:val="28"/>
          <w:szCs w:val="28"/>
        </w:rPr>
        <w:t xml:space="preserve"> короткого действия</w:t>
      </w:r>
      <w:r w:rsidRPr="002F492C">
        <w:rPr>
          <w:sz w:val="28"/>
          <w:szCs w:val="28"/>
        </w:rPr>
        <w:t>. Необходимо стремиться использовать как можно меньшую дозу НПВС, которую следует максимально снизить или отменить после получения эффекта от лечения базисными противоревматическими препаратами.</w:t>
      </w:r>
    </w:p>
    <w:p w:rsidR="00C751D9" w:rsidRPr="002F492C" w:rsidRDefault="00C751D9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5F3356" w:rsidRPr="002F492C" w:rsidRDefault="005F3356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492C">
        <w:rPr>
          <w:b/>
          <w:bCs/>
          <w:sz w:val="28"/>
          <w:szCs w:val="28"/>
        </w:rPr>
        <w:t>Выбор пути</w:t>
      </w:r>
      <w:r w:rsidR="0061089E" w:rsidRPr="002F492C">
        <w:rPr>
          <w:b/>
          <w:bCs/>
          <w:sz w:val="28"/>
          <w:szCs w:val="28"/>
        </w:rPr>
        <w:t xml:space="preserve"> и способа</w:t>
      </w:r>
      <w:r w:rsidRPr="002F492C">
        <w:rPr>
          <w:b/>
          <w:bCs/>
          <w:sz w:val="28"/>
          <w:szCs w:val="28"/>
        </w:rPr>
        <w:t xml:space="preserve"> введения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1089E" w:rsidRPr="002F492C" w:rsidRDefault="0061089E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Метотрексат в среднем на 60-70% всасывается в ЖКТ.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>Парентеральное введение препарата используется в случае отсутствия эффекта от перорального приема или при развитии токсических реакций со стороны ЖКТ. Отсутствие эффекта от перорального приема препарата</w:t>
      </w:r>
      <w:r w:rsidR="00A54C9E">
        <w:rPr>
          <w:sz w:val="28"/>
          <w:szCs w:val="28"/>
        </w:rPr>
        <w:t xml:space="preserve"> </w:t>
      </w:r>
      <w:r w:rsidRPr="002F492C">
        <w:rPr>
          <w:sz w:val="28"/>
          <w:szCs w:val="28"/>
        </w:rPr>
        <w:t xml:space="preserve">чаще связано с низкой абсорбцией в ЖКТ, а не с его неэффективностью. </w:t>
      </w:r>
      <w:r w:rsidR="0097565D" w:rsidRPr="002F492C">
        <w:rPr>
          <w:sz w:val="28"/>
          <w:szCs w:val="28"/>
        </w:rPr>
        <w:t xml:space="preserve">Эффект от проводимой терапии оценивается через 4-8 недель. </w:t>
      </w:r>
      <w:r w:rsidR="00317906" w:rsidRPr="002F492C">
        <w:rPr>
          <w:sz w:val="28"/>
          <w:szCs w:val="28"/>
        </w:rPr>
        <w:t>Метотрексат назначают 1 раз в неделю, поскольку более частый прием вызывает развит</w:t>
      </w:r>
      <w:r w:rsidR="00807C2C" w:rsidRPr="002F492C">
        <w:rPr>
          <w:sz w:val="28"/>
          <w:szCs w:val="28"/>
        </w:rPr>
        <w:t>ие острых и хронических реакций.</w:t>
      </w:r>
    </w:p>
    <w:p w:rsidR="0097565D" w:rsidRPr="002F492C" w:rsidRDefault="00317906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Терапия глюкокортикоидами показана для снижения активности РА на короткий промежуток времени, пока не начнут действовать базисные противоревматические препараты. При ревматическом артрите с поражением висцеральных органов и высокой степенью активности возможно применение пульс-терапии или альтернирующей схемы назначения глюкокортикоидов.</w:t>
      </w:r>
    </w:p>
    <w:p w:rsidR="0097565D" w:rsidRPr="002F492C" w:rsidRDefault="0097565D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07C2C" w:rsidRPr="002F492C" w:rsidRDefault="00807C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Определение индивидуальной дозы и режима дозирования ЛС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C2C" w:rsidRPr="002F492C" w:rsidRDefault="00807C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 xml:space="preserve">Доза метотрексата в большинстве случаев составляет 7,5мг/нед. В связи с возможной непереносимостью одномоментного приема больших доз метотрексата рекомендуется назначать его дробно, с 12-часовым интервалом, в утренние и вечерние часы. </w:t>
      </w:r>
      <w:r w:rsidRPr="002F492C">
        <w:rPr>
          <w:sz w:val="28"/>
          <w:szCs w:val="28"/>
        </w:rPr>
        <w:t xml:space="preserve">При отсутствии эффекта при нормальной переносимости дозу метотрексата постепенно увеличивают по 2,5мг в неделю, поскольку клиническая эффективность метотрексата имеет четкую зависимость от дозы. При этом суммарная недельная доза не должна превышать 25мг из-за возможного развития токсических реакций и ухудшения всасывания боле высоких доз препарата в ЖКТ. </w:t>
      </w:r>
      <w:r w:rsidR="00F65AC3" w:rsidRPr="002F492C">
        <w:rPr>
          <w:sz w:val="28"/>
          <w:szCs w:val="28"/>
        </w:rPr>
        <w:t xml:space="preserve">Эффект от проводимой терапии оценивается через 4-8 недель, максимальный эффект наблюдается через 6 месяцев. </w:t>
      </w:r>
      <w:r w:rsidRPr="002F492C">
        <w:rPr>
          <w:color w:val="000000"/>
          <w:sz w:val="28"/>
          <w:szCs w:val="28"/>
        </w:rPr>
        <w:t>Поддерживающая доза метотрексата составляет 30-50% от терапевтической.</w:t>
      </w:r>
    </w:p>
    <w:p w:rsidR="00A64718" w:rsidRPr="002F492C" w:rsidRDefault="00A6471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Rp</w:t>
      </w:r>
      <w:r w:rsidRPr="002F492C">
        <w:rPr>
          <w:color w:val="000000"/>
          <w:sz w:val="28"/>
          <w:szCs w:val="28"/>
        </w:rPr>
        <w:t xml:space="preserve">.: </w:t>
      </w:r>
      <w:r w:rsidRPr="002F492C">
        <w:rPr>
          <w:color w:val="000000"/>
          <w:sz w:val="28"/>
          <w:szCs w:val="28"/>
          <w:lang w:val="en-US"/>
        </w:rPr>
        <w:t>Tab</w:t>
      </w:r>
      <w:r w:rsidRPr="002F492C">
        <w:rPr>
          <w:color w:val="000000"/>
          <w:sz w:val="28"/>
          <w:szCs w:val="28"/>
        </w:rPr>
        <w:t xml:space="preserve">. </w:t>
      </w:r>
      <w:r w:rsidRPr="002F492C">
        <w:rPr>
          <w:color w:val="000000"/>
          <w:sz w:val="28"/>
          <w:szCs w:val="28"/>
          <w:lang w:val="en-US"/>
        </w:rPr>
        <w:t>Methotrexati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0,0025</w:t>
      </w:r>
    </w:p>
    <w:p w:rsidR="00A64718" w:rsidRPr="002F492C" w:rsidRDefault="00A6471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D</w:t>
      </w:r>
      <w:r w:rsidRPr="002F492C">
        <w:rPr>
          <w:color w:val="000000"/>
          <w:sz w:val="28"/>
          <w:szCs w:val="28"/>
        </w:rPr>
        <w:t>.</w:t>
      </w:r>
      <w:r w:rsidRPr="002F492C">
        <w:rPr>
          <w:color w:val="000000"/>
          <w:sz w:val="28"/>
          <w:szCs w:val="28"/>
          <w:lang w:val="en-US"/>
        </w:rPr>
        <w:t>S</w:t>
      </w:r>
      <w:r w:rsidRPr="002F492C">
        <w:rPr>
          <w:color w:val="000000"/>
          <w:sz w:val="28"/>
          <w:szCs w:val="28"/>
        </w:rPr>
        <w:t xml:space="preserve">.: По 3 таблетки 1 раз в неделю </w:t>
      </w:r>
      <w:r w:rsidR="00F65AC3" w:rsidRPr="002F492C">
        <w:rPr>
          <w:color w:val="000000"/>
          <w:sz w:val="28"/>
          <w:szCs w:val="28"/>
        </w:rPr>
        <w:t>внутрь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в 2 приема через 12 часов, длительно.</w:t>
      </w:r>
    </w:p>
    <w:p w:rsidR="001B778C" w:rsidRPr="002F492C" w:rsidRDefault="00807C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Альтернирующая схема лечения глюкокортикоидами предполагает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 xml:space="preserve">прием обычно удвоенной суточной дозы препарата однократно утром через день. Эта схема позволяет существенно снизить частоту угнетения гипоталамо-гипофизарно-надпочечниковой системы (при той же эффективности) по сравнению с непрерывной поддерживающей терапией. </w:t>
      </w:r>
      <w:r w:rsidR="001B778C" w:rsidRPr="002F492C">
        <w:rPr>
          <w:color w:val="000000"/>
          <w:sz w:val="28"/>
          <w:szCs w:val="28"/>
        </w:rPr>
        <w:t>Пульс-терапия характеризуется назначением сверхвысоких доз ГК на короткий срок. Препаратом выбора считают метилпреднизолон. Терапия ГК продолжается до снижения активности РА. После возможен переход на поддерживающие дозы (10-15мг/сут), либо отмена препарата. Метипред 1,5мг/кг</w:t>
      </w:r>
    </w:p>
    <w:p w:rsidR="001B778C" w:rsidRPr="002F492C" w:rsidRDefault="001B778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Rp</w:t>
      </w:r>
      <w:r w:rsidRPr="002F492C">
        <w:rPr>
          <w:color w:val="000000"/>
          <w:sz w:val="28"/>
          <w:szCs w:val="28"/>
        </w:rPr>
        <w:t>.: Т</w:t>
      </w:r>
      <w:r w:rsidRPr="002F492C">
        <w:rPr>
          <w:color w:val="000000"/>
          <w:sz w:val="28"/>
          <w:szCs w:val="28"/>
          <w:lang w:val="en-US"/>
        </w:rPr>
        <w:t>ab</w:t>
      </w:r>
      <w:r w:rsidRPr="002F492C">
        <w:rPr>
          <w:color w:val="000000"/>
          <w:sz w:val="28"/>
          <w:szCs w:val="28"/>
        </w:rPr>
        <w:t xml:space="preserve">. </w:t>
      </w:r>
      <w:r w:rsidRPr="002F492C">
        <w:rPr>
          <w:color w:val="000000"/>
          <w:sz w:val="28"/>
          <w:szCs w:val="28"/>
          <w:lang w:val="en-US"/>
        </w:rPr>
        <w:t>Methylpred</w:t>
      </w:r>
      <w:r w:rsidRPr="002F492C">
        <w:rPr>
          <w:color w:val="000000"/>
          <w:sz w:val="28"/>
          <w:szCs w:val="28"/>
        </w:rPr>
        <w:t xml:space="preserve"> 0, 0</w:t>
      </w:r>
      <w:r w:rsidR="008D5A8E" w:rsidRPr="002F492C">
        <w:rPr>
          <w:color w:val="000000"/>
          <w:sz w:val="28"/>
          <w:szCs w:val="28"/>
        </w:rPr>
        <w:t xml:space="preserve">16 </w:t>
      </w:r>
      <w:r w:rsidR="008D5A8E" w:rsidRPr="002F492C">
        <w:rPr>
          <w:color w:val="000000"/>
          <w:sz w:val="28"/>
          <w:szCs w:val="28"/>
          <w:lang w:val="en-US"/>
        </w:rPr>
        <w:t>N</w:t>
      </w:r>
      <w:r w:rsidR="008D5A8E" w:rsidRPr="002F492C">
        <w:rPr>
          <w:color w:val="000000"/>
          <w:sz w:val="28"/>
          <w:szCs w:val="28"/>
        </w:rPr>
        <w:t>30</w:t>
      </w:r>
    </w:p>
    <w:p w:rsidR="008D5A8E" w:rsidRPr="002F492C" w:rsidRDefault="008D5A8E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  <w:lang w:val="en-US"/>
        </w:rPr>
        <w:t>D</w:t>
      </w:r>
      <w:r w:rsidRPr="002F492C">
        <w:rPr>
          <w:color w:val="000000"/>
          <w:sz w:val="28"/>
          <w:szCs w:val="28"/>
        </w:rPr>
        <w:t>.</w:t>
      </w:r>
      <w:r w:rsidRPr="002F492C">
        <w:rPr>
          <w:color w:val="000000"/>
          <w:sz w:val="28"/>
          <w:szCs w:val="28"/>
          <w:lang w:val="en-US"/>
        </w:rPr>
        <w:t>S</w:t>
      </w:r>
      <w:r w:rsidRPr="002F492C">
        <w:rPr>
          <w:color w:val="000000"/>
          <w:sz w:val="28"/>
          <w:szCs w:val="28"/>
        </w:rPr>
        <w:t xml:space="preserve">. По 6 таблеток </w:t>
      </w:r>
      <w:r w:rsidR="00A64718" w:rsidRPr="002F492C">
        <w:rPr>
          <w:color w:val="000000"/>
          <w:sz w:val="28"/>
          <w:szCs w:val="28"/>
        </w:rPr>
        <w:t xml:space="preserve">принимать внутрь </w:t>
      </w:r>
      <w:r w:rsidRPr="002F492C">
        <w:rPr>
          <w:color w:val="000000"/>
          <w:sz w:val="28"/>
          <w:szCs w:val="28"/>
        </w:rPr>
        <w:t>утром через день</w:t>
      </w:r>
      <w:r w:rsidR="00A64718" w:rsidRPr="002F492C">
        <w:rPr>
          <w:color w:val="000000"/>
          <w:sz w:val="28"/>
          <w:szCs w:val="28"/>
        </w:rPr>
        <w:t>.</w:t>
      </w:r>
    </w:p>
    <w:p w:rsidR="00C66EF8" w:rsidRPr="002F492C" w:rsidRDefault="00C66EF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 целью уменьшения боли и воспаления в суставах в качестве симптоматической терапии можно назначить НПВС короткого действия. Необходимо стремиться использовать как можно меньшую дозу НПВС, которую следует максимально снизить или отменить после получения эффекта от лечения базисными противоревматическими препаратами.</w:t>
      </w:r>
    </w:p>
    <w:p w:rsidR="00C66EF8" w:rsidRPr="002F492C" w:rsidRDefault="002C5D52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492C">
        <w:rPr>
          <w:sz w:val="28"/>
          <w:szCs w:val="28"/>
          <w:lang w:val="en-US"/>
        </w:rPr>
        <w:t>Rp.: Diklofenac 2.5%-3ml N5</w:t>
      </w:r>
    </w:p>
    <w:p w:rsidR="00F65AC3" w:rsidRPr="002F492C" w:rsidRDefault="002C5D52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sz w:val="28"/>
          <w:szCs w:val="28"/>
          <w:lang w:val="en-US"/>
        </w:rPr>
        <w:t>D</w:t>
      </w:r>
      <w:r w:rsidRPr="002F492C">
        <w:rPr>
          <w:sz w:val="28"/>
          <w:szCs w:val="28"/>
        </w:rPr>
        <w:t>.</w:t>
      </w:r>
      <w:r w:rsidRPr="002F492C">
        <w:rPr>
          <w:sz w:val="28"/>
          <w:szCs w:val="28"/>
          <w:lang w:val="en-US"/>
        </w:rPr>
        <w:t>S</w:t>
      </w:r>
      <w:r w:rsidRPr="002F492C">
        <w:rPr>
          <w:sz w:val="28"/>
          <w:szCs w:val="28"/>
        </w:rPr>
        <w:t>.: внутримышечно 1 раз в день в течении 5 дней.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778C" w:rsidRDefault="00A6471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492C">
        <w:rPr>
          <w:b/>
          <w:bCs/>
          <w:color w:val="000000"/>
          <w:sz w:val="28"/>
          <w:szCs w:val="28"/>
        </w:rPr>
        <w:t>Возможные побочные эффекты и противопоказания</w:t>
      </w:r>
    </w:p>
    <w:p w:rsidR="002F492C" w:rsidRP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5198"/>
        <w:gridCol w:w="3063"/>
      </w:tblGrid>
      <w:tr w:rsidR="00A64718" w:rsidRPr="00E92352" w:rsidTr="00E92352"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Препарат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Побочные эффекты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Противопоказания</w:t>
            </w:r>
          </w:p>
        </w:tc>
      </w:tr>
      <w:tr w:rsidR="00A64718" w:rsidRPr="00E92352" w:rsidTr="00E92352"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Метотрексат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Поражение ЖКТ, стоматит, сыпь, алопеция, головные боли, поражение печени, редко миелосупрессия, гиперчувствительный пневмонит</w:t>
            </w:r>
            <w:r w:rsidR="000A0314" w:rsidRPr="00E92352">
              <w:rPr>
                <w:color w:val="000000"/>
              </w:rPr>
              <w:t>. Необходим контроль числа лейкоцитов.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Острые инфекционные заболевания, беременность, различные нарушения кроветворения, поражение почек и ХПН, язвенная болезнь желудка и ДПК</w:t>
            </w:r>
          </w:p>
        </w:tc>
      </w:tr>
      <w:tr w:rsidR="00A64718" w:rsidRPr="00E92352" w:rsidTr="00E92352"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Метипред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637C7B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Развитие инфекционных осложнений (бактериальные, вирусные, грибковые, паразитарные), остеопороз, кровоизлияния, угри, артериальная гипертензия, сахарный диабет, задержка роста и полового созревания у детей</w:t>
            </w:r>
            <w:r w:rsidR="00F65AC3" w:rsidRPr="00E92352">
              <w:rPr>
                <w:color w:val="000000"/>
              </w:rPr>
              <w:t>, неустойчивое настроение, психозы, гипергликемия, гиперлипидемия, синдром Кушинга, стероидные язвы желудка и кишечника, Вторичная надпочечниковая недостаточность.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F65AC3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Сахарный диабет, психические заболевания, эпилепсия, язвенная болезнь желудка или ДПК, выраженный остеопороз, тяжелая артериальная гипертензия.</w:t>
            </w:r>
          </w:p>
        </w:tc>
      </w:tr>
      <w:tr w:rsidR="00A64718" w:rsidRPr="00E92352" w:rsidTr="00E92352">
        <w:tc>
          <w:tcPr>
            <w:tcW w:w="0" w:type="auto"/>
            <w:shd w:val="clear" w:color="auto" w:fill="auto"/>
          </w:tcPr>
          <w:p w:rsidR="00A64718" w:rsidRPr="00E92352" w:rsidRDefault="006C7598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Диклофенак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6C7598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Гастропатии и желудочно-кишечные расстройства, кровотечения, гематотоксичность, синдром Рейе, нарушение функции почек, гепатотоксичность, поражение кожи и слизистых</w:t>
            </w:r>
            <w:r w:rsidR="000A0314" w:rsidRPr="00E92352">
              <w:rPr>
                <w:color w:val="000000"/>
              </w:rPr>
              <w:t>, редко анафилактический шок</w:t>
            </w:r>
          </w:p>
        </w:tc>
        <w:tc>
          <w:tcPr>
            <w:tcW w:w="0" w:type="auto"/>
            <w:shd w:val="clear" w:color="auto" w:fill="auto"/>
          </w:tcPr>
          <w:p w:rsidR="00A64718" w:rsidRPr="00E92352" w:rsidRDefault="000A0314" w:rsidP="00E9235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E92352">
              <w:rPr>
                <w:color w:val="000000"/>
              </w:rPr>
              <w:t>Индивидуальная непереносимость, ЯБЖ иДПК, лейкопении, тяжелые заболевания почек, 1 триместр беременности, лактация.</w:t>
            </w:r>
          </w:p>
        </w:tc>
      </w:tr>
    </w:tbl>
    <w:p w:rsidR="000A0314" w:rsidRPr="002F492C" w:rsidRDefault="000A0314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64718" w:rsidRP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Лекарственное взаимодействие</w:t>
      </w:r>
    </w:p>
    <w:p w:rsid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AC3" w:rsidRPr="002F492C" w:rsidRDefault="00886B13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При применении метотрексата вместе с цитостатиками, сульфаниламидами, хлорамфениколом, производными пиразолона происходит повышение свободной фракции перечисленных препаратов, усиление токсического действия на кроветворения, ЖКТ, печень, ЦНС. Применение метотраксата вместе с НПВС, тетрациклином, хлорамфениколом, ПАСК ведет к повышению плазменной концентрации первого за счет ингибирования кональцевой секреции метотрексата, повышению риска нежелательных реакций. В день приема метотрексата необходимо заменять НПВС на глюкокортикоиды в низких дозах, уменьшить дозу НПВС до и/или после приема метомрексата.</w:t>
      </w:r>
    </w:p>
    <w:p w:rsidR="00C66EF8" w:rsidRPr="002F492C" w:rsidRDefault="00C66EF8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92C">
        <w:rPr>
          <w:color w:val="000000"/>
          <w:sz w:val="28"/>
          <w:szCs w:val="28"/>
        </w:rPr>
        <w:t>Учитывая, что по химической структуре метотрексат близок к кислоте фолиевой</w:t>
      </w:r>
      <w:r w:rsidR="00A54C9E">
        <w:rPr>
          <w:color w:val="000000"/>
          <w:sz w:val="28"/>
          <w:szCs w:val="28"/>
        </w:rPr>
        <w:t xml:space="preserve"> </w:t>
      </w:r>
      <w:r w:rsidRPr="002F492C">
        <w:rPr>
          <w:color w:val="000000"/>
          <w:sz w:val="28"/>
          <w:szCs w:val="28"/>
        </w:rPr>
        <w:t>и является ее антиметаболитом-антагонистом, следует принимать фолиевую кислоту не менее 1мг/сут через 24 часа после приема метотрексата вплоть до следующего приема.</w:t>
      </w:r>
    </w:p>
    <w:p w:rsidR="00E97AA0" w:rsidRPr="002F492C" w:rsidRDefault="00E97AA0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F492C">
        <w:rPr>
          <w:b/>
          <w:bCs/>
          <w:sz w:val="28"/>
          <w:szCs w:val="28"/>
        </w:rPr>
        <w:t>Критерии эффективности фармакотерапии</w:t>
      </w:r>
      <w:r w:rsidR="00D41814" w:rsidRPr="002F492C">
        <w:rPr>
          <w:sz w:val="28"/>
          <w:szCs w:val="28"/>
        </w:rPr>
        <w:t xml:space="preserve"> (Американская коллегия ревматологов)</w:t>
      </w:r>
      <w:r w:rsidRPr="002F492C">
        <w:rPr>
          <w:sz w:val="28"/>
          <w:szCs w:val="28"/>
        </w:rPr>
        <w:t>:</w:t>
      </w:r>
    </w:p>
    <w:p w:rsidR="00E97AA0" w:rsidRPr="002F492C" w:rsidRDefault="00E97AA0" w:rsidP="002F492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Снижение числа болезненных суставов.</w:t>
      </w:r>
    </w:p>
    <w:p w:rsidR="00E97AA0" w:rsidRPr="002F492C" w:rsidRDefault="00E97AA0" w:rsidP="002F492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снижение числа припухших суставов.</w:t>
      </w:r>
    </w:p>
    <w:p w:rsidR="00E97AA0" w:rsidRPr="002F492C" w:rsidRDefault="00E97AA0" w:rsidP="002F492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По крайней мере 3 из:</w:t>
      </w:r>
    </w:p>
    <w:p w:rsidR="00E97AA0" w:rsidRPr="002F492C" w:rsidRDefault="00E97AA0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Общая оценка активности по мнению врача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Общая оценка активности по мнению пациента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Оценка боли в суставах пациентов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Счет индекса нетрудоспособности</w:t>
      </w:r>
    </w:p>
    <w:p w:rsidR="00D41814" w:rsidRPr="002F492C" w:rsidRDefault="00D41814" w:rsidP="002F492C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Острофазовые показатели (СОЭ, СРБ)</w:t>
      </w:r>
    </w:p>
    <w:p w:rsidR="003C130B" w:rsidRPr="002F492C" w:rsidRDefault="003C130B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A0314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A0314" w:rsidRPr="002F492C">
        <w:rPr>
          <w:b/>
          <w:bCs/>
          <w:sz w:val="28"/>
          <w:szCs w:val="28"/>
        </w:rPr>
        <w:t>Другие базисные противовоспалительные средства</w:t>
      </w:r>
    </w:p>
    <w:p w:rsidR="002F492C" w:rsidRPr="002F492C" w:rsidRDefault="002F492C" w:rsidP="002F492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0314" w:rsidRPr="002F492C" w:rsidRDefault="000A0314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Азатиоприн, пеницилламин, циклоспорин А, циклофосфамид, хлорамбуцил</w:t>
      </w:r>
      <w:r w:rsidR="003C130B" w:rsidRPr="002F492C">
        <w:rPr>
          <w:sz w:val="28"/>
          <w:szCs w:val="28"/>
        </w:rPr>
        <w:t xml:space="preserve"> – применяют редко из-за побочных эффектов и отсутствия достоверных данных о влиянии на рентгенологическое прогрессирование поражения суставов.</w:t>
      </w:r>
    </w:p>
    <w:p w:rsidR="003C130B" w:rsidRPr="002F492C" w:rsidRDefault="003C130B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Химерные моноклональные антитела к ФНО-α (инфликсимаб) – средсвто выбора у пуциентов, резистентных к терапии базисными препаратами, вызывает быструю положительную линамику, замедляет рентгенологическое поражение суставов.</w:t>
      </w:r>
    </w:p>
    <w:p w:rsidR="003C130B" w:rsidRPr="002F492C" w:rsidRDefault="003C130B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Препараты золота – лечение также эффективно, как и лечение метотрексатом, хотя ассоциируется с более частым развитием побочных эффектов.</w:t>
      </w:r>
    </w:p>
    <w:p w:rsidR="003C130B" w:rsidRPr="002F492C" w:rsidRDefault="003C130B" w:rsidP="002F492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F492C">
        <w:rPr>
          <w:sz w:val="28"/>
          <w:szCs w:val="28"/>
        </w:rPr>
        <w:t>ленфлюномид – монотерапия этим препаратом по эффективности и безопасности уступает терапии метотрексатом, хотя в комбинации с метотрексатом дает хорошие результаты.</w:t>
      </w:r>
      <w:bookmarkStart w:id="15" w:name="_GoBack"/>
      <w:bookmarkEnd w:id="15"/>
    </w:p>
    <w:sectPr w:rsidR="003C130B" w:rsidRPr="002F492C" w:rsidSect="002F4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916"/>
    <w:multiLevelType w:val="multilevel"/>
    <w:tmpl w:val="0AA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024C2"/>
    <w:multiLevelType w:val="hybridMultilevel"/>
    <w:tmpl w:val="A7ACF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47783"/>
    <w:multiLevelType w:val="hybridMultilevel"/>
    <w:tmpl w:val="472253CE"/>
    <w:lvl w:ilvl="0" w:tplc="A2FE9D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363AA8"/>
    <w:multiLevelType w:val="singleLevel"/>
    <w:tmpl w:val="EF68FC2E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24616156"/>
    <w:multiLevelType w:val="singleLevel"/>
    <w:tmpl w:val="F40C12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621420C"/>
    <w:multiLevelType w:val="multilevel"/>
    <w:tmpl w:val="8834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10FBD"/>
    <w:multiLevelType w:val="singleLevel"/>
    <w:tmpl w:val="8938A7EC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7">
    <w:nsid w:val="438D34DD"/>
    <w:multiLevelType w:val="hybridMultilevel"/>
    <w:tmpl w:val="5BC62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1738BD"/>
    <w:multiLevelType w:val="singleLevel"/>
    <w:tmpl w:val="F61E9B6A"/>
    <w:lvl w:ilvl="0">
      <w:start w:val="3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4D9C1C99"/>
    <w:multiLevelType w:val="hybridMultilevel"/>
    <w:tmpl w:val="810655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813FF5"/>
    <w:multiLevelType w:val="hybridMultilevel"/>
    <w:tmpl w:val="1DC8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D5703"/>
    <w:multiLevelType w:val="singleLevel"/>
    <w:tmpl w:val="D2769C9E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2">
    <w:nsid w:val="52875C82"/>
    <w:multiLevelType w:val="hybridMultilevel"/>
    <w:tmpl w:val="8834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F3C5D"/>
    <w:multiLevelType w:val="hybridMultilevel"/>
    <w:tmpl w:val="0AA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1"/>
  </w:num>
  <w:num w:numId="18">
    <w:abstractNumId w:val="13"/>
  </w:num>
  <w:num w:numId="19">
    <w:abstractNumId w:val="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16A"/>
    <w:rsid w:val="000A0314"/>
    <w:rsid w:val="000D4C82"/>
    <w:rsid w:val="000E4059"/>
    <w:rsid w:val="000E43AB"/>
    <w:rsid w:val="000E47AC"/>
    <w:rsid w:val="000F1F9C"/>
    <w:rsid w:val="001675ED"/>
    <w:rsid w:val="001B5AA5"/>
    <w:rsid w:val="001B778C"/>
    <w:rsid w:val="001F5500"/>
    <w:rsid w:val="00266345"/>
    <w:rsid w:val="002C5D52"/>
    <w:rsid w:val="002F492C"/>
    <w:rsid w:val="0031360E"/>
    <w:rsid w:val="00317906"/>
    <w:rsid w:val="00360050"/>
    <w:rsid w:val="00370EAB"/>
    <w:rsid w:val="00376134"/>
    <w:rsid w:val="003C130B"/>
    <w:rsid w:val="005A516A"/>
    <w:rsid w:val="005F3356"/>
    <w:rsid w:val="0061089E"/>
    <w:rsid w:val="00637C7B"/>
    <w:rsid w:val="006C7598"/>
    <w:rsid w:val="006E2002"/>
    <w:rsid w:val="007C7484"/>
    <w:rsid w:val="00807C2C"/>
    <w:rsid w:val="008123FD"/>
    <w:rsid w:val="00886B13"/>
    <w:rsid w:val="008D5A8E"/>
    <w:rsid w:val="009078F9"/>
    <w:rsid w:val="0097565D"/>
    <w:rsid w:val="00A54C9E"/>
    <w:rsid w:val="00A64718"/>
    <w:rsid w:val="00B52604"/>
    <w:rsid w:val="00C66EF8"/>
    <w:rsid w:val="00C751D9"/>
    <w:rsid w:val="00CB2C3B"/>
    <w:rsid w:val="00D41814"/>
    <w:rsid w:val="00DB59CA"/>
    <w:rsid w:val="00E92352"/>
    <w:rsid w:val="00E97AA0"/>
    <w:rsid w:val="00F201EC"/>
    <w:rsid w:val="00F41120"/>
    <w:rsid w:val="00F65AC3"/>
    <w:rsid w:val="00F8355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78304E-685A-48B0-A3A6-DD8DA894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6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1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uiPriority w:val="99"/>
    <w:rsid w:val="00F4112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FF384B"/>
    <w:rPr>
      <w:color w:val="0000FF"/>
      <w:u w:val="single"/>
    </w:rPr>
  </w:style>
  <w:style w:type="table" w:styleId="a7">
    <w:name w:val="Table Grid"/>
    <w:basedOn w:val="a1"/>
    <w:uiPriority w:val="99"/>
    <w:rsid w:val="00A647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иван да ольга</dc:creator>
  <cp:keywords/>
  <dc:description/>
  <cp:lastModifiedBy>admin</cp:lastModifiedBy>
  <cp:revision>2</cp:revision>
  <dcterms:created xsi:type="dcterms:W3CDTF">2014-02-25T12:03:00Z</dcterms:created>
  <dcterms:modified xsi:type="dcterms:W3CDTF">2014-02-25T12:03:00Z</dcterms:modified>
</cp:coreProperties>
</file>