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B14078" w:rsidP="00B14078">
      <w:pPr>
        <w:pStyle w:val="a5"/>
        <w:spacing w:line="36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930173" w:rsidRPr="00B14078" w:rsidRDefault="00930173" w:rsidP="00B14078">
      <w:pPr>
        <w:pStyle w:val="a5"/>
        <w:spacing w:line="36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B749CE" w:rsidP="00B14078">
      <w:pPr>
        <w:pStyle w:val="a5"/>
        <w:spacing w:line="36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«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Заболевания билиарной системы у детей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»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3013E4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="003013E4" w:rsidRPr="003013E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Введение</w:t>
      </w:r>
    </w:p>
    <w:p w:rsidR="003013E4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последние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годы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сохраняется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устойчивая тенденция к росту числа детей с хроническими воспалительными заболеваниями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органов пищеварения. Патология желчного пузыря и желчевыводящих путей занимает одно из ведущих мест в структуре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гастроэнтерологических заболеваний. Гепатобилиарная патология диагностируется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большинства детей школьного возраста,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причем девочки болеют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раза чаще, чем мальчики, и составляет 8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от всех заболеваний желудочно-кишечного тракта.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Функциональные нарушения желчевыводящих путей (дискинезии) в настоящее время рассматриваются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как преморбидное состояние, которое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длительном течении может привести к развитию хронических заболеваний билиарной системы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холециститу,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холецистохолангиту, 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Воспалительные заболевания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 пузыря и желчевыводящих путей в детском возрасте имеют высокий удельный вес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структуре болезней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пищеварительного тракта неинфекционной этиологии.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Распространенность указанной патологии в Республике Беларусь составляет 242,9 случаев на 100 тысяч детского населения.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 это свидетельствует о большом медико-социальном значении ранней диагностики, рациональной терапии и о совершенствовании диспансерного наблюдения за данным контингентом больных.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Дискинезия желчевыводящих путей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Дискинезия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желчевыводящих путей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(ДЖВП)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функциональное заболевание, характеризующееся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нарушением моторики желчного пузыря и сфинктерного аппарата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клинически проявляющееся болями в правом подреберье.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практике педиатра наиболее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часто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встречаются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сочетанные патологические состояния, характеризующиеся дискинезией желчевыводящих путей и изменениями в смежных органах пищеварения.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учитывать,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могут являться только одним из частных случаев 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моторики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 желудочно-кишечного тракта.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Этиология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настоящее время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 желчевыводящих путей подразделяют 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первичные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вторичные.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 первичным дискинезиям относят заболевания,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основе которых лежат нарушения нейрогуморальных регуляторных механизмов. Вторичные дискинезии обусловлены органическими поражениями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желудка,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двенадцатиперстной кишки и возникают по типу висцеро-висцеральных рефлексов.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Выделяют ряд экзогенных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эндогенных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факторов,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вызывающих различные нарушения моторики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Особое значение уделяется лямблиозу.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Вегетируя в слизистой оболочке двенадцатиперстной кишки,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лямблии прикрепляются к микроворсинкам и вызывают выраженные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дистрофические изменения эпителия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кишки,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итоге нарушает координацию работы сфинктерного аппарата двенадцатиперстной кишки и желчевыводящих путей. Прослеживается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четкая зависимость возникновения дискинезий от перенесенных инфекционных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заболеваний: вирусного гепатита, сальмонеллеза, дизентерии. Определенную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роль в возникновении и развитии дискинезии желчевыводящих путей играют очаги хронической инфекции, особенно хроническая патология ЛОР-органов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хронический тонзиллит, гайморит и др.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Известна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зависимость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распространения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заболеваний желчевыводящих путей от различных невротических состояний. Причинами развития дискинезий могут быть нерациональное питание,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дисбактериоз кишечника, пищевая аллергия, гипокинезия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Патогенез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Основу формирования дискинезии желчевыводящих путей составляет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взаимодействия иннервационной и эндокринной систем,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осуществляющих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последовательность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сокращения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расслабления желчного пузыря и системы сфинктеров Одди, Люткенса, Мирицци, что приводит к дискоординации их деятельности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нарушению пассажа желчи в кишечник.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патогенезе первичных дискинезий основным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звеном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 расстройство нейрогуморальной регуляции, преимущественно осуществляемое кишечными пептидными гормонами. Холецистокинин-панкреозимин сокращает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способствуя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поступлению желчи в двенадцатиперстную кишку.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Гастрин,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секретин,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глюкагон обладают несколько меньшим стимулирующим эффектом. Энкефалины, ангиотензины, нейротензин тормозят моторику желчного пузыря.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 выработки пептидных гормонов и расстройства их взаимосвязи изменяют сократительную функцию не только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 и остальных отделов желчевыводящей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панкреатических протоков.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 это способствует повышению давления в желчном пузыре, гипертонусу сфинктерного аппарата,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 проявляется болевым синдромом различного характера.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Определенную роль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развитии дискинезий играют эндокринные нарушения, особенно выраженные в период полового созревания.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Раздражение блуждающего нерва приводит к сокращению желчного пузыря и спазму сфинктеров пузырного и общего протоков. Раздражение симпатического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нерва,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напротив,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ведет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 ослаблению тонуса желчного пузыря и расслаблению сфинктеров.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Классификация дискинезии желчевыводящих путей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(по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А.А.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Мазурину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А.М.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Запруднову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, 1984;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В.Л.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Пайкову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и соавт., 1998)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сфинктерного аппарата желчевыводящих путей: гипертоническая (спазм сфинктеров), гипотоническая (недостаточность сфинктеров), атоническая, смешанная.</w:t>
      </w:r>
    </w:p>
    <w:p w:rsidR="00930173" w:rsidRPr="00B14078" w:rsidRDefault="00930173" w:rsidP="00B1407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моторики желчного пузыря и желчных ходов: гиперкинетическая, гипокинетическая, смешанная.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Выделяют две основные формы дискинезии желчевыводящих путей: гипертоническую и гипотоническую, что представляется все же несколько условным, так как существует много вариантов сочетания измененного тонуса желчного пузыря и сфинктерного аппарата желчевыделительной системы.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Течение дискинезий у детей отличается выраженным полиморфизмом. Дискинезия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 характеризуется ноющими или схваткообразными болями в животе, преимущественно в правом подреберье, иногда с иррадиацией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правое плечо, диспептическими расстройствами. У больных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нередки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общеневрологические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расстройства. Характерной чертой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 связь болей с нервно-психическими и физическими нагрузками, приемом жирной пищи.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максимальная болезненность отмечается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 при наличии гастродуоденита,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язвенной болезни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в пилородуоденальной зоне.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 с локальной болезненностью при пальпации в правом подреберье определяются симптомы со стороны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пузыря (симптомы Кера,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Ортнера,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Мерфи), может наблюдаться и легкое мышечное напряжение.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Типичным симптомом дискинезии желчных путей у детей является увеличение печени до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ниже реберной дуги.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Дифференциальная диагностика различных форм 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детей возможна на основании клинических данных и данных инструментальных методов исследования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гипертонической форме</w:t>
      </w:r>
      <w:r w:rsidRPr="00B140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обычно острые, приступообразные, режущие, колющие. Возникают боли через 30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после приема пищи, особенно холодной, или после эмоциональных нагрузок. Боли локализуются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околопупочной области. Длительность приступа болей обычно не превышает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Этой форме дискинезии свойственны меньшая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длительность заболевания (до 6 месяцев),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лабильность вегетативной нервной системы, сопутствующие невротические состояния. При пальпации живота 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отмечается в правом подреберье.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Увеличение печени встречается редко. Пузырные симптомы слабоположительные.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форме</w:t>
      </w:r>
      <w:r w:rsidR="00B14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 больные предъявляют жалобы на боли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слабость,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быструю утомляемость, периодическую тошноту.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синдром постоянный,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периодически усиливается.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тупые,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ноющие,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давящие.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Они возникают через 60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9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после приема пищи, особенно жирной, или после физических нагрузок. Длительность болевого синдрома составляет от 1 до 2 часов. Нейровегетативные симптомы встречаются редко. При пальпации живота болезненность отмечается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чаще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области правого подреберья или правого подреберья и пупка. Пузырные симптомы положительные.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Наблюдается увеличение печени.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Длительность заболевания составляет 1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,5 года.</w:t>
      </w: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Распознавание 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представляет определенные трудности и требует комплексного обследования.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доступным методом лабораторной диагностики является непрерывное фракционное дуоденальное зондирование по F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Lo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pez и соавт. (1950). Впервые в отечественной педиатрической практике данный метод обследования апробировался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В.Л.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Пайковым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Л.И.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Кравченко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1973 году.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Однако следует указать на необходимость критического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 результатам дуоденального зондирования ввиду недостаточной его физиологичности,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связанной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введением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двенадцатиперстную кишку и длительным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нахождением в ней дуоденального зонда с металлической оливой на конце.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важное значение в диагностике дискинезии желчевыводящих путей на современном этапе имеет ультразвуковой метод.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проведении ультразвукового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 желчного пузыря и желчевыводящих путей форма,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положение и опорожнение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пузыря меняется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зависимости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типа дискинезии.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определения типа дискинезии желчного пузыря используют показатель двигательной функции желчного пузыря (ПДФ) (табл. 1), который рассчитывается по формуле: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ПДФ= (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x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 / (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x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),</w:t>
      </w:r>
    </w:p>
    <w:p w:rsidR="003013E4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где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– поперечник желчного пузыря до приема желчегонного завтрака;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длинник желчного пузыря до приема завтрака;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поперечник желчного пузыря после приема завтрака;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– длинник желчного пузыря после приема завтрака.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здоровых детей ПДФ равен 0,59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0,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75 (59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75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гипертонической форме обнаруживается уменьшенный желчный пузырь.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Опорожнение его ускорено. 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желчный пузырь увеличен в размерах, опорожнение его замедленное даже после повторных введений желчегонных стимуляторов.</w:t>
      </w:r>
    </w:p>
    <w:p w:rsidR="003013E4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Таблица 1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Виды нарушений двигательной функции желчевыводящей системы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5580"/>
      </w:tblGrid>
      <w:tr w:rsidR="00930173" w:rsidRPr="00A01F93" w:rsidTr="00A01F93">
        <w:trPr>
          <w:cantSplit/>
        </w:trPr>
        <w:tc>
          <w:tcPr>
            <w:tcW w:w="1858" w:type="pct"/>
            <w:shd w:val="clear" w:color="auto" w:fill="auto"/>
          </w:tcPr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Типы нарушений опорожнения</w:t>
            </w:r>
          </w:p>
        </w:tc>
        <w:tc>
          <w:tcPr>
            <w:tcW w:w="3142" w:type="pct"/>
            <w:shd w:val="clear" w:color="auto" w:fill="auto"/>
          </w:tcPr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Вид нарушения координации</w:t>
            </w:r>
          </w:p>
        </w:tc>
      </w:tr>
      <w:tr w:rsidR="00930173" w:rsidRPr="00A01F93" w:rsidTr="00A01F93">
        <w:trPr>
          <w:cantSplit/>
        </w:trPr>
        <w:tc>
          <w:tcPr>
            <w:tcW w:w="1858" w:type="pct"/>
            <w:shd w:val="clear" w:color="auto" w:fill="auto"/>
          </w:tcPr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Замедленное опорожнение:</w:t>
            </w:r>
          </w:p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поперечник желчного пузыря сокращается меньше, чем 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A01F93" w:rsidRDefault="00930173" w:rsidP="00A01F93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Спазм сфинктеров желчевыводящих путей, ПДФ &gt; 0,75</w:t>
            </w:r>
          </w:p>
          <w:p w:rsidR="00930173" w:rsidRPr="00A01F93" w:rsidRDefault="00930173" w:rsidP="00A01F93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Слабое сокращение мышечного слоя желчного пузыря, ПДФ &lt; 0,75</w:t>
            </w:r>
          </w:p>
        </w:tc>
      </w:tr>
      <w:tr w:rsidR="00930173" w:rsidRPr="00A01F93" w:rsidTr="00A01F93">
        <w:trPr>
          <w:cantSplit/>
        </w:trPr>
        <w:tc>
          <w:tcPr>
            <w:tcW w:w="1858" w:type="pct"/>
            <w:shd w:val="clear" w:color="auto" w:fill="auto"/>
          </w:tcPr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Ускоренное опорожнение:</w:t>
            </w:r>
          </w:p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поперечник желчного пузыря сокращается больше, чем 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A01F93" w:rsidRDefault="00930173" w:rsidP="00A01F93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Недостаточность тонуса сфинктеров желчевыводящих путей, ПДФ &lt; 0,59</w:t>
            </w:r>
          </w:p>
          <w:p w:rsidR="00930173" w:rsidRPr="00A01F93" w:rsidRDefault="00930173" w:rsidP="00A01F93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Сильное сокращение мышечного слоя желчного пузыря, ПДФ &gt; 0,59</w:t>
            </w:r>
          </w:p>
        </w:tc>
      </w:tr>
      <w:tr w:rsidR="00930173" w:rsidRPr="00A01F93" w:rsidTr="00A01F93">
        <w:trPr>
          <w:cantSplit/>
        </w:trPr>
        <w:tc>
          <w:tcPr>
            <w:tcW w:w="1858" w:type="pct"/>
            <w:shd w:val="clear" w:color="auto" w:fill="auto"/>
          </w:tcPr>
          <w:p w:rsidR="00930173" w:rsidRPr="00A01F93" w:rsidRDefault="00930173" w:rsidP="00A01F93">
            <w:pPr>
              <w:pStyle w:val="a5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Своевременное опорожне-ние: поперечник желчного пузыря сокращается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A01F93" w:rsidRDefault="00930173" w:rsidP="00A01F93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Слабое сокращение желчного пузыря при недостаточности сфинктеров желчевыводя-щих путей, ПДФ &lt;0,59</w:t>
            </w:r>
          </w:p>
          <w:p w:rsidR="00930173" w:rsidRPr="00A01F93" w:rsidRDefault="00930173" w:rsidP="00A01F93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Сильное сокращение желчного пузыря при спазме сфинктеров, ПДФ &gt; 0,75</w:t>
            </w:r>
          </w:p>
        </w:tc>
      </w:tr>
    </w:tbl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Результаты ультразвукового исследования подтверждают наличие функциональных изменений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желчевыводящей системе,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исключая при этом аномалии развития желчного пузыря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путей, желчнокаменную болезнь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воспалительный процесс в желчевыводящей системе.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Высокоинформативными методами являются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также рентгенологическое и сцинтиграфическое исследования.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Однако с учетом лучевой нагрузки на детский организм эти методы диагностики функциональных заболеваний билиарной системы используются крайне редко.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Дифференциальная диагностика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Дифференциальная диагностика различных форм дискинезии желчевыводящий путей между собой и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заболеваниями желчевыводящих путей представлена в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3013E4">
      <w:pPr>
        <w:pStyle w:val="a5"/>
        <w:tabs>
          <w:tab w:val="left" w:pos="6600"/>
          <w:tab w:val="left" w:pos="822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Таблица 2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Дифференциально-диагностические критерии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заболеваний печени и желчевыводящих путей</w:t>
      </w:r>
    </w:p>
    <w:tbl>
      <w:tblPr>
        <w:tblW w:w="486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7"/>
        <w:gridCol w:w="2521"/>
        <w:gridCol w:w="2184"/>
        <w:gridCol w:w="2324"/>
        <w:gridCol w:w="179"/>
      </w:tblGrid>
      <w:tr w:rsidR="00930173" w:rsidRPr="00A01F93" w:rsidTr="00A01F93">
        <w:trPr>
          <w:gridAfter w:val="1"/>
          <w:wAfter w:w="179" w:type="dxa"/>
          <w:trHeight w:val="311"/>
        </w:trPr>
        <w:tc>
          <w:tcPr>
            <w:tcW w:w="1097" w:type="pct"/>
            <w:vMerge w:val="restar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Критерий</w:t>
            </w:r>
          </w:p>
        </w:tc>
        <w:tc>
          <w:tcPr>
            <w:tcW w:w="2543" w:type="pct"/>
            <w:gridSpan w:val="2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Форма дискинезии</w:t>
            </w:r>
          </w:p>
        </w:tc>
        <w:tc>
          <w:tcPr>
            <w:tcW w:w="1256" w:type="pct"/>
            <w:vMerge w:val="restar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Хронический</w:t>
            </w:r>
            <w:r w:rsidR="003013E4" w:rsidRPr="00A01F9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холецистохолангит</w:t>
            </w:r>
          </w:p>
        </w:tc>
      </w:tr>
      <w:tr w:rsidR="00930173" w:rsidRPr="00A01F93" w:rsidTr="00A01F93">
        <w:trPr>
          <w:gridAfter w:val="1"/>
          <w:wAfter w:w="179" w:type="dxa"/>
          <w:trHeight w:val="387"/>
        </w:trPr>
        <w:tc>
          <w:tcPr>
            <w:tcW w:w="1097" w:type="pct"/>
            <w:vMerge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2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гипотоническая</w:t>
            </w:r>
          </w:p>
        </w:tc>
        <w:tc>
          <w:tcPr>
            <w:tcW w:w="1181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гипертоническая</w:t>
            </w:r>
          </w:p>
        </w:tc>
        <w:tc>
          <w:tcPr>
            <w:tcW w:w="1256" w:type="pct"/>
            <w:vMerge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930173" w:rsidRPr="00A01F93" w:rsidTr="00A01F93">
        <w:trPr>
          <w:gridAfter w:val="1"/>
          <w:wAfter w:w="179" w:type="dxa"/>
        </w:trPr>
        <w:tc>
          <w:tcPr>
            <w:tcW w:w="1097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362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81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6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930173" w:rsidRPr="00A01F93" w:rsidTr="00A01F93">
        <w:trPr>
          <w:gridAfter w:val="1"/>
          <w:wAfter w:w="179" w:type="dxa"/>
          <w:trHeight w:val="1247"/>
        </w:trPr>
        <w:tc>
          <w:tcPr>
            <w:tcW w:w="1097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Анамнез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AA2FA8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Семейная пред</w:t>
            </w:r>
            <w:r w:rsidR="00930173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расположенность</w:t>
            </w:r>
          </w:p>
          <w:p w:rsidR="00930173" w:rsidRPr="00A01F93" w:rsidRDefault="00930173" w:rsidP="00A01F93">
            <w:pPr>
              <w:pStyle w:val="a5"/>
              <w:framePr w:hSpace="180" w:wrap="auto" w:vAnchor="text" w:hAnchor="text" w:y="1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Сезонность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обострения</w:t>
            </w:r>
          </w:p>
          <w:p w:rsidR="00930173" w:rsidRPr="00A01F93" w:rsidRDefault="00930173" w:rsidP="00A01F93">
            <w:pPr>
              <w:pStyle w:val="a5"/>
              <w:framePr w:hSpace="180" w:wrap="auto" w:vAnchor="text" w:hAnchor="text" w:y="1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Длительность заболевания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боли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Связь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="00AA2FA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погреш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ностями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в</w:t>
            </w:r>
            <w:r w:rsidR="00B1407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="00AA2FA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пита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нии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Иррадиация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болей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Рвота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Тошнота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Запоры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Отрыжка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Мышечное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напряжение</w:t>
            </w:r>
          </w:p>
        </w:tc>
        <w:tc>
          <w:tcPr>
            <w:tcW w:w="1362" w:type="pct"/>
            <w:shd w:val="clear" w:color="auto" w:fill="auto"/>
          </w:tcPr>
          <w:p w:rsidR="00930173" w:rsidRPr="00A01F93" w:rsidRDefault="00AA2FA8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Невротические реакции, эмоцио</w:t>
            </w:r>
            <w:r w:rsidR="00930173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нал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ьные нагрузки, лабильность веге</w:t>
            </w:r>
            <w:r w:rsidR="00930173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тативной нервной системы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Осенне-весенний период</w:t>
            </w:r>
          </w:p>
          <w:p w:rsidR="00AA2FA8" w:rsidRPr="00A01F93" w:rsidRDefault="00AA2FA8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До 1 года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framePr w:hSpace="180" w:wrap="auto" w:vAnchor="text" w:hAnchor="text" w:y="1"/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Приступообразные,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непостоянные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Через</w:t>
            </w:r>
            <w:r w:rsidR="00B14078" w:rsidRPr="00A01F9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="00B14078" w:rsidRPr="00A01F93">
              <w:rPr>
                <w:rFonts w:ascii="Times New Roman" w:hAnsi="Times New Roman" w:cs="Times New Roman"/>
                <w:color w:val="000000"/>
                <w:szCs w:val="28"/>
              </w:rPr>
              <w:t>–4</w:t>
            </w: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0 минут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после</w:t>
            </w:r>
            <w:r w:rsidR="00B14078" w:rsidRPr="00A01F9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приема</w:t>
            </w:r>
            <w:r w:rsidR="00B14078" w:rsidRPr="00A01F9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AA2FA8" w:rsidRPr="00A01F93">
              <w:rPr>
                <w:rFonts w:ascii="Times New Roman" w:hAnsi="Times New Roman" w:cs="Times New Roman"/>
                <w:color w:val="000000"/>
                <w:szCs w:val="28"/>
              </w:rPr>
              <w:t>хо</w:t>
            </w: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лодной пищи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Нехарактерны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Отсутствует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Отрицательные</w:t>
            </w:r>
          </w:p>
          <w:p w:rsidR="00930173" w:rsidRPr="00A01F93" w:rsidRDefault="00AA2FA8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эмоции, физи</w:t>
            </w:r>
            <w:r w:rsidR="00930173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ческие нагрузки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1</w:t>
            </w:r>
            <w:r w:rsidR="00B14078" w:rsidRPr="00A01F93">
              <w:rPr>
                <w:rFonts w:eastAsia="MS Mincho"/>
                <w:color w:val="000000"/>
                <w:sz w:val="20"/>
                <w:szCs w:val="28"/>
              </w:rPr>
              <w:t xml:space="preserve"> – 1,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5 года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Ноющие, тупые,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постоянные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Через 1</w:t>
            </w:r>
            <w:r w:rsidR="00B14078" w:rsidRPr="00A01F93">
              <w:rPr>
                <w:rFonts w:eastAsia="MS Mincho"/>
                <w:color w:val="000000"/>
                <w:sz w:val="20"/>
                <w:szCs w:val="28"/>
              </w:rPr>
              <w:t>–1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,5 часа после</w:t>
            </w:r>
            <w:r w:rsidR="00B14078" w:rsidRPr="00A01F93">
              <w:rPr>
                <w:rFonts w:eastAsia="MS Mincho"/>
                <w:color w:val="000000"/>
                <w:sz w:val="20"/>
                <w:szCs w:val="28"/>
              </w:rPr>
              <w:t xml:space="preserve"> 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приема пищи, особенно жирной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Редко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Характерны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Отсутствует</w:t>
            </w:r>
          </w:p>
        </w:tc>
        <w:tc>
          <w:tcPr>
            <w:tcW w:w="1256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Слабость, вялость,</w:t>
            </w:r>
          </w:p>
          <w:p w:rsidR="00930173" w:rsidRPr="00A01F93" w:rsidRDefault="00AA2FA8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признаки интоксиации, полигипо</w:t>
            </w:r>
            <w:r w:rsidR="00930173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витаминоз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Осенне-весенний период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1</w:t>
            </w:r>
            <w:r w:rsidR="00B14078" w:rsidRPr="00A01F93">
              <w:rPr>
                <w:rFonts w:eastAsia="MS Mincho"/>
                <w:color w:val="000000"/>
                <w:sz w:val="20"/>
                <w:szCs w:val="28"/>
              </w:rPr>
              <w:t xml:space="preserve"> – 1,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5 года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Приступообразные,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A01F93">
              <w:rPr>
                <w:rFonts w:eastAsia="MS Mincho"/>
                <w:sz w:val="20"/>
                <w:szCs w:val="20"/>
              </w:rPr>
              <w:t>тупые, постоянные</w:t>
            </w:r>
          </w:p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Через</w:t>
            </w:r>
            <w:r w:rsidR="00B14078" w:rsidRPr="00A01F93">
              <w:rPr>
                <w:color w:val="000000"/>
                <w:sz w:val="20"/>
                <w:szCs w:val="28"/>
              </w:rPr>
              <w:t xml:space="preserve"> </w:t>
            </w:r>
            <w:r w:rsidRPr="00A01F93">
              <w:rPr>
                <w:color w:val="000000"/>
                <w:sz w:val="20"/>
                <w:szCs w:val="28"/>
              </w:rPr>
              <w:t>1,5- 2</w:t>
            </w:r>
            <w:r w:rsidR="00B14078" w:rsidRPr="00A01F93">
              <w:rPr>
                <w:color w:val="000000"/>
                <w:sz w:val="20"/>
                <w:szCs w:val="28"/>
              </w:rPr>
              <w:t xml:space="preserve"> </w:t>
            </w:r>
            <w:r w:rsidRPr="00A01F93">
              <w:rPr>
                <w:color w:val="000000"/>
                <w:sz w:val="20"/>
                <w:szCs w:val="28"/>
              </w:rPr>
              <w:t>часа после</w:t>
            </w:r>
            <w:r w:rsidR="00B14078" w:rsidRPr="00A01F93">
              <w:rPr>
                <w:color w:val="000000"/>
                <w:sz w:val="20"/>
                <w:szCs w:val="28"/>
              </w:rPr>
              <w:t xml:space="preserve"> </w:t>
            </w:r>
            <w:r w:rsidRPr="00A01F93">
              <w:rPr>
                <w:color w:val="000000"/>
                <w:sz w:val="20"/>
                <w:szCs w:val="28"/>
              </w:rPr>
              <w:t>приема</w:t>
            </w:r>
            <w:r w:rsidR="00B14078" w:rsidRPr="00A01F93">
              <w:rPr>
                <w:color w:val="000000"/>
                <w:sz w:val="20"/>
                <w:szCs w:val="28"/>
              </w:rPr>
              <w:t xml:space="preserve"> </w:t>
            </w:r>
            <w:r w:rsidR="00AA2FA8" w:rsidRPr="00A01F93">
              <w:rPr>
                <w:color w:val="000000"/>
                <w:sz w:val="20"/>
                <w:szCs w:val="28"/>
              </w:rPr>
              <w:t>пищи, особенно жир</w:t>
            </w:r>
            <w:r w:rsidRPr="00A01F93">
              <w:rPr>
                <w:color w:val="000000"/>
                <w:sz w:val="20"/>
                <w:szCs w:val="28"/>
              </w:rPr>
              <w:t>ной и жареной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В правое плечо и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лопатку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Характерны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Характерно</w:t>
            </w:r>
          </w:p>
          <w:p w:rsidR="00930173" w:rsidRPr="00A01F93" w:rsidRDefault="00930173" w:rsidP="00A01F9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30173" w:rsidRPr="00A01F93" w:rsidTr="00A01F93">
        <w:trPr>
          <w:trHeight w:val="3759"/>
        </w:trPr>
        <w:tc>
          <w:tcPr>
            <w:tcW w:w="1097" w:type="pct"/>
            <w:shd w:val="clear" w:color="auto" w:fill="auto"/>
          </w:tcPr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Пузырные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симптомы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Увеличение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печени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Интоксикация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Изменения </w:t>
            </w:r>
            <w:r w:rsidR="00AA2FA8"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биохимических по</w:t>
            </w:r>
            <w:r w:rsidRPr="00A01F93">
              <w:rPr>
                <w:rFonts w:ascii="Times New Roman" w:eastAsia="MS Mincho" w:hAnsi="Times New Roman" w:cs="Times New Roman"/>
                <w:color w:val="000000"/>
                <w:szCs w:val="28"/>
              </w:rPr>
              <w:t>казателей крови</w:t>
            </w: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A01F93" w:rsidRDefault="00930173" w:rsidP="00A01F93">
            <w:pPr>
              <w:pStyle w:val="a5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A01F93">
              <w:rPr>
                <w:rFonts w:ascii="Times New Roman" w:eastAsia="MS Mincho" w:hAnsi="Times New Roman" w:cs="Times New Roman"/>
              </w:rPr>
              <w:t>Изменения в об</w:t>
            </w:r>
            <w:r w:rsidRPr="00A01F93">
              <w:rPr>
                <w:rFonts w:eastAsia="MS Mincho"/>
              </w:rPr>
              <w:t>щем</w:t>
            </w:r>
            <w:r w:rsidR="00B14078" w:rsidRPr="00A01F93">
              <w:rPr>
                <w:rFonts w:eastAsia="MS Mincho"/>
              </w:rPr>
              <w:t xml:space="preserve"> </w:t>
            </w:r>
            <w:r w:rsidRPr="00A01F93">
              <w:rPr>
                <w:rFonts w:ascii="Times New Roman" w:eastAsia="MS Mincho" w:hAnsi="Times New Roman" w:cs="Times New Roman"/>
              </w:rPr>
              <w:t>анализе крови</w:t>
            </w:r>
          </w:p>
        </w:tc>
        <w:tc>
          <w:tcPr>
            <w:tcW w:w="1362" w:type="pct"/>
            <w:shd w:val="clear" w:color="auto" w:fill="auto"/>
          </w:tcPr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Выражены нерезко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Нехарактерно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A01F93" w:rsidRDefault="00930173" w:rsidP="00A01F93">
            <w:pPr>
              <w:pStyle w:val="a5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Выражены</w:t>
            </w:r>
            <w:r w:rsidR="00B14078" w:rsidRPr="00A01F93">
              <w:rPr>
                <w:color w:val="000000"/>
                <w:sz w:val="20"/>
                <w:szCs w:val="28"/>
              </w:rPr>
              <w:t xml:space="preserve"> </w:t>
            </w:r>
            <w:r w:rsidR="00AA2FA8" w:rsidRPr="00A01F93">
              <w:rPr>
                <w:color w:val="000000"/>
                <w:sz w:val="20"/>
                <w:szCs w:val="28"/>
              </w:rPr>
              <w:t>не</w:t>
            </w:r>
            <w:r w:rsidRPr="00A01F93">
              <w:rPr>
                <w:color w:val="000000"/>
                <w:sz w:val="20"/>
                <w:szCs w:val="28"/>
              </w:rPr>
              <w:t>резко</w:t>
            </w:r>
          </w:p>
          <w:p w:rsidR="00AA2FA8" w:rsidRPr="00A01F93" w:rsidRDefault="00AA2FA8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Иногда</w:t>
            </w:r>
          </w:p>
          <w:p w:rsidR="00930173" w:rsidRPr="00A01F93" w:rsidRDefault="00930173" w:rsidP="00A01F93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A01F93">
              <w:rPr>
                <w:sz w:val="20"/>
              </w:rPr>
              <w:t>Отсутствуют</w:t>
            </w:r>
          </w:p>
          <w:p w:rsidR="00930173" w:rsidRPr="00A01F93" w:rsidRDefault="00AA2FA8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Небольшое уве</w:t>
            </w:r>
            <w:r w:rsidR="00930173" w:rsidRPr="00A01F93">
              <w:rPr>
                <w:rFonts w:eastAsia="MS Mincho"/>
                <w:color w:val="000000"/>
                <w:sz w:val="20"/>
                <w:szCs w:val="28"/>
              </w:rPr>
              <w:t>л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ичение актив</w:t>
            </w:r>
            <w:r w:rsidR="00930173" w:rsidRPr="00A01F93">
              <w:rPr>
                <w:rFonts w:eastAsia="MS Mincho"/>
                <w:color w:val="000000"/>
                <w:sz w:val="20"/>
                <w:szCs w:val="28"/>
              </w:rPr>
              <w:t>ности щелочной фосфатазы</w:t>
            </w:r>
          </w:p>
          <w:p w:rsidR="00930173" w:rsidRPr="00A01F93" w:rsidRDefault="00930173" w:rsidP="00A01F93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1F93">
              <w:rPr>
                <w:color w:val="000000"/>
                <w:sz w:val="20"/>
                <w:szCs w:val="28"/>
              </w:rPr>
              <w:t>Отсутствуют</w:t>
            </w:r>
          </w:p>
          <w:p w:rsidR="00930173" w:rsidRPr="00A01F93" w:rsidRDefault="00930173" w:rsidP="00A01F93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</w:tc>
        <w:tc>
          <w:tcPr>
            <w:tcW w:w="1361" w:type="pct"/>
            <w:gridSpan w:val="2"/>
            <w:shd w:val="clear" w:color="auto" w:fill="auto"/>
          </w:tcPr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Положительные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Характерно</w:t>
            </w: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930173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Выражена</w:t>
            </w:r>
          </w:p>
          <w:p w:rsidR="00930173" w:rsidRPr="00A01F93" w:rsidRDefault="00AA2FA8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Повышение актив</w:t>
            </w:r>
            <w:r w:rsidR="00930173" w:rsidRPr="00A01F93">
              <w:rPr>
                <w:rFonts w:eastAsia="MS Mincho"/>
                <w:color w:val="000000"/>
                <w:sz w:val="20"/>
                <w:szCs w:val="28"/>
              </w:rPr>
              <w:t>ности</w:t>
            </w:r>
            <w:r w:rsidR="00B14078" w:rsidRPr="00A01F93">
              <w:rPr>
                <w:rFonts w:eastAsia="MS Mincho"/>
                <w:color w:val="000000"/>
                <w:sz w:val="20"/>
                <w:szCs w:val="28"/>
              </w:rPr>
              <w:t xml:space="preserve"> </w:t>
            </w:r>
            <w:r w:rsidRPr="00A01F93">
              <w:rPr>
                <w:rFonts w:eastAsia="MS Mincho"/>
                <w:color w:val="000000"/>
                <w:sz w:val="20"/>
                <w:szCs w:val="28"/>
              </w:rPr>
              <w:t>трансаминаз, щелочной фосфатазы, билируби</w:t>
            </w:r>
            <w:r w:rsidR="00930173" w:rsidRPr="00A01F93">
              <w:rPr>
                <w:rFonts w:eastAsia="MS Mincho"/>
                <w:color w:val="000000"/>
                <w:sz w:val="20"/>
                <w:szCs w:val="28"/>
              </w:rPr>
              <w:t>на</w:t>
            </w:r>
          </w:p>
          <w:p w:rsidR="00AA2FA8" w:rsidRPr="00A01F93" w:rsidRDefault="00AA2FA8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A01F93" w:rsidRDefault="00AA2FA8" w:rsidP="00A01F93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A01F93">
              <w:rPr>
                <w:rFonts w:eastAsia="MS Mincho"/>
                <w:color w:val="000000"/>
                <w:sz w:val="20"/>
                <w:szCs w:val="28"/>
              </w:rPr>
              <w:t>Лейкоцитоз, нейтрофилез, увеличе</w:t>
            </w:r>
            <w:r w:rsidR="00930173" w:rsidRPr="00A01F93">
              <w:rPr>
                <w:rFonts w:eastAsia="MS Mincho"/>
                <w:color w:val="000000"/>
                <w:sz w:val="20"/>
                <w:szCs w:val="28"/>
              </w:rPr>
              <w:t>ние СОЭ, анемия</w:t>
            </w:r>
          </w:p>
        </w:tc>
      </w:tr>
    </w:tbl>
    <w:p w:rsidR="00930173" w:rsidRPr="00B14078" w:rsidRDefault="00930173" w:rsidP="00B14078">
      <w:pPr>
        <w:pStyle w:val="a5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AA2FA8" w:rsidP="00B14078">
      <w:pPr>
        <w:pStyle w:val="a5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5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 дискинезии желчевыводящих 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должно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комплексным, с учетом всех заболеваний и функциональных нарушений органов пищеварительной системы.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Лечебная тактика определяется характером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дискинетических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расстройств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выраженностью вегетативных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реакций.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Всем больным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независимо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 формы дискинезии рекомендуется лечебное питание (диета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 с исключением острых, соленых, копченых и жареных блюд,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экстрактивных веществ,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тугоплавких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жиров.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обеспечить оптимальную возрастную потребность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белках, жирах, углеводах, витаминах. Белки животного происхождения должны составлять не менее 6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%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общего количества белка.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Пища должна готовиться на пару. Принимать пищу рекомендуется не менее 5 раз в сутки.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гипотонической форме дискинезии желчевыводящих путей показаны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пищевые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продукты,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обладающие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желчегонным действием.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Реко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мендуются сливочное и растительное масло,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сливки, сметана, яйца. Показано употребление значительного количества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фруктов,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овощей, черного хлеба,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рефлекторно стимулирует эвакуаторную функцию кишечника и желчного пузыря.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Одно из ведущих мест в комплексной терапии больных с билиарной патологией занимает назначение желчегонных средств,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могут быть разделены на 2 группы: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I. Усиливающие образование желчи клетками печеночной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паренхимы (холеретики).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II. Способствующие продвижению 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желчевыделительным путям и выделению ее в кишечник (холекинетики).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 холеретикам относят: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1. Препараты, усиливающие секрецию желчи и стимулирующие образование желчных кислот (истинные холеретики):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а)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содержащие желчные кислоты,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аллохол, холензим, кислота дегидрохолевая, хологон;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б) препараты химического синтеза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никодин,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оксафенамид, циквалон и др.;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в) препараты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растительного происхождения (холосас,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фламин,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холагол,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холафлукс,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холагогум)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отвары лекарственных трав (бессмертник,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кукурузные рыльца,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мята,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пижма, плоды шиповника, куркума и др.).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2.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увеличивающие секрецию 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преимущественно за счет водного компонента,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салицилат натрия, минеральные воды, экстракт кукурузных рылец, экстракт валерианы и др.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группу холекинетиков входят:</w:t>
      </w:r>
    </w:p>
    <w:p w:rsidR="00B14078" w:rsidRDefault="00930173" w:rsidP="00B14078">
      <w:pPr>
        <w:pStyle w:val="a5"/>
        <w:tabs>
          <w:tab w:val="left" w:pos="36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1.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вызывающие повышение тонуса желчного пузыря и снижение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тонуса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желчных путей,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сульфат магния, ксилит, холецистокинин, растительные препараты из барбариса, куркумы, в том числе холагогум.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2. Препараты, вызывающие расслабление тонуса желчных путей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атропина сульфат,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платифиллина гидротартрат,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эуфиллин, метацин, экстракт белладонны.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Желчегонную терапию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 проводить длительно,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прерывистыми курсами, систематически чередуя желчегонные средства, что предотвращает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дистрофию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гепатоцитов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привыкание организма к ле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карственным средствам.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выборе препарата в первую очередь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учитывать форму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исходный тонус желчного пузыря и сфинктерного аппарата.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детей наилучшими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желчегонными средствами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 препараты растительного происхождения,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обладающие щадящим физиологическим действием и редко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побочный эффект.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Тактика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гипертонической формой дискинезии желчевыводящих путей.</w:t>
      </w:r>
      <w:r w:rsidRPr="00B140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лечении больных широко используют холеретики, постепенно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переходя на желчегонные травы.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учетом частых нарушений функции вегетативной нервной системы назначают препараты брома, рудотель, триоксазин, седативную микстуру. Целесообразно включение фенобарбитала,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который стимулирует секрецию желчи, обмен билирубина,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экскрецию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желчью экзогенных веществ,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оказывает седативное действие. Всем больным необходимо назначение спазмолитиков. 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физиотерапевтических процедур рекомендуются аппликации озокерита, электрофорез папаверина на область правого подреберья. При проведении лечебной физкультуры исключают большие нагрузки на мышцы брюшного пресса.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Хороший эффект наблюдается при применении минеральных вод низкой минерализации, без содержания газов, в подогретом виде 4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раз в день малыми порциями (по 40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мл).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Тактика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формой дискинезии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данной форме дискинезии необходимо правильно подбирать желчегонные средства.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эффективно сочетание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истинных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холекинетиков или сульфата магния в виде тюбажа по Демьянову.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 2 курсов лечения желчегонными препаратами переходят на желчегонные травы. Из физиотерапевтических процедур в остром периоде применяют аппликации озокерита, электрофорез сульфата магния, синусоидальные модулированные токи (СМТ) на область правого подреберья.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 высокой минерализации комнатной температуры назначают из расчета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мл/кг массы тела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приема.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Диспансерное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наблюдение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осуществляется участковым педиатром в поликлинике в течение 1 года. После выписки из стационара профилактическое лечение проводится в течение 2 месяцев. В комплекс мероприятий при диспансерном наблюдении включаются: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контроль и рекомендации врача по диетотерапии, периодическое назначение желчегонных средств в течение 2 недель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физиотерапевтических процедур (не менее 2 раз в год), регулярная санация очагов хронической инфекции.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стойкой ремиссии (при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отсутствии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обострений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заболевания более 1 года) противорецидивное лечение не проводится.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A2FA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Острый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Изолированное поражение желчного пузыря и желчевыводящих путей 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диагностируется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крайне редко,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так как клиническая картина холециститов и холангитов однотипна и топическая диагностика их затруднительна. Поэтому наиболее целесообразно и правильно использовать термин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одновременное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воспаление желчного пузыря и желчных путей.</w:t>
      </w:r>
    </w:p>
    <w:p w:rsidR="00AA2FA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большинстве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случаев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причиной заболевания является кишечная палочка,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кокковая флора (стафилококк, стрептококк), 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условно-патогенная грамотрицательная флора (протей, клебсиелла, синегнойная палочка). В отдельных случаях имеет значение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инвазия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гельминтами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(аскаридами,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описторхисами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др.). Развитию заболевания могут способствовать вирусные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гастроэнтериты, острые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респираторные вирусные инфекции.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Проникновение инфекции в желчный пузырь происходит преимущественно гематогенным путем.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Паразитирование лямблий в тонкой кишке также может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способствовать развитию острого холецистохолангита. Лямблии, поражая кишечник, особенно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двенадцатиперстную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кишку,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различные формы дискинезий желчевыводящих путей, вследствие чего происходит изменение координированной работы сфинктерного аппарата двенадцатиперстной кишки 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результате этого возможно вторичное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инфицирование билиарной системы.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настоящее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время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немаловажное значение в развитии воспалительных заболеваний билиарной системы придается пищевой аллергии.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Изменения в гепатобилиарной системе обусловлены спазмом сфинктеров, гипотонией желчного пузыря и холестазом.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Возникновению заболевания могут способствовать аномалии развития желчного пузыря, наличие в нем камней, забрасывание ферментов поджелудочной железы,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затруднение оттока желчи, травмы, хронические очаги инфекции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Таким образом,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патогенезе острых воспалительных заболеваний 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играют роль физико-химические свойства желчи, регуляция моторной деятельности желчных протоков и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функциональное состояние желудка и двенадцатиперстной кишки.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Клиническая картина острого холецистохолангита схожа с клиникой острого живота, и поэтому дети обычно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поступают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хирургическое отделение по экстренным показаниям.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начинается обычно остро: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повышается температура тела до высоких цифр, появляется резкая боль в правом подреберье, эпигастральной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области,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около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пупка.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усиливаются в горизонтальном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положении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 правом боку.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большинстве случаев боли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иррадиируют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правое плечо,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лопатку,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правую часть поясницы, 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левую поясничную и подвздошную области.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приступ сопровождается тошнотой, рвотой с примесью желчи, которая не приносит облегчения. Быстро развиваются признаки общей интоксикации: головная боль, резкое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беспокойство,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озноб, гиперестезия;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кожа и слизистые оболочки становятся сухими, язык обложен белым или желтоватым налетом.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 сохраняется небольшая ригидность,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резкая болезненность при пальпации в области правого подреберья, определяются положительные пузырные симптомы,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увеличенная и болезненная печень. Желтушность кожи и склер непостоянна и обусловлена обычно нарушением функционального состояния печени и холестазом.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характеру морфологических изменений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различают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катаральную, флегмонозную и гангренозную формы острого холецистита. У детей в большинстве случаев наблюдается катаральная форма,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которая протекает без осложнений. При катаральном холецистите желчная колика у детей может сохраняться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до 3 дней, затем постепенно ослабевает. Длительность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острого холецистохолангита колеблется от 2 недель до 1,5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месяцев.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«острый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холецистохолангит» ставят на основании совокупности клинической картины,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лабораторных и инструментальных методов исследования.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общем анализе крови отмечается лейкоцитоз,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нейтрофилез со сдвигом лейкоцитарной формулы влево, увеличенная СОЭ. В биохимическом анализе крови повышается уровень щелочной фосфатазы и прямого билирубина,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незначительное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повышение трансаминаз (АлАТ, АсАТ).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ультразвуковом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определяют размеры,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форму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наличие перетяжек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перегибов,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сократительную способность пузыря. Утолщение стенок желчного пузыря указывает на его воспаление.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Иногда для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правильной постановки диагноза приходится прибегать к лапаротомии,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лапароскопии. Макроскопически желчный пузырь с признаками острого воспаления растянут темной желчью, в слизистой оболочке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точечные некротизированные участки.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катаральной форме острого холецистита консервативное, при флегмонозной и гангренозной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хирургическое.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Больные острым холецистохолангитом обязательно подлежат госпитализации. Назначают строгий постельный режим,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холод на живот. В первые дни болезни, если резко выражены болевой синдром, тошнота, рвота,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следует назначать кисели,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теплом виде. По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мере стихания процесса переходят на диетическое питание (стол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Антибактериальную терапию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нужно начинать рано и проводить в течение длительного времени (10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 дней),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применяя антибиотики с обязательным учетом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степени их проникновения в желчь (макролиды, полусинтетические пенициллины,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цефалоспорины,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аминогликозиды). Показано применение фуразолидона, сиралидена.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купирования болевого синдрома применяют антиспастические и аналгезирующие средства (атропин,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платифиллин, но-шпа, папаверин, баралгин,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максиган, спазмолгон, спаздолин и др.), в тяжелых случаях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промедол, пантопон.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целью дезинтоксикации прибегают к инфузионной терапии: 1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раствор глюкозы, реополиглюкин, полиглюкин, стерофундин.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дальнейшем,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 купирования острого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терапия проводится по принципам лечения хронического холецистохолангита.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FA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Хронический холецистохолангит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Хронический холецистохолангит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 хроническое рецидивирующее воспаление желчного пузыря и желчевыводящих путей.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Основными причинами развития воспалительного процесса в 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путях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моторики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 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развитие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подпеченочного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 приводит к застою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как в желчном пузыре, так и в желчных протоках, в результате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чего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происходит сгущение желчи в желчном пузыре, изменяются ее физико-коллоидные свойства, рН и нарушается ее бактерицидность.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Вследствие этого инфекция может проникать в билиарную систему гематогенным и лимфогенным путями.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Возможен и восходящий путь занесения инфекции за счет дуоденобилиарного рефлюкса, при котором содержимое двенадцатиперстной кишки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забрасывается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общий желчный проток.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Воспалительный процесс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чаще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 обусловлен кишечной палочкой,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стафилококком, стрептококком, протеем, энтерококком.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бактериями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этиологическое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значение имеют также вирусы (аденовирусы, энтеровирусы и др.), простейшие, грибы. Выделяют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также форму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абактериального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которой возбудитель в билиарной системе отсутствует и патологический процесс развивается в результате аллергических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механизмов, 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влиянием токсинов при обострении очагов хронической инфекции.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Формирование воспалительного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поражения в желчевыводящих путях в значительной степени зависит от состояния защитных сил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организма, в том числе специфических и неспецифических факторов защиты. Особое значение придают состоянию фагоцитоза, системе комплемента, активности факторов местной защиты и др.</w:t>
      </w: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Классификация хронического холецистохолангита</w:t>
      </w:r>
    </w:p>
    <w:p w:rsidR="00AA2FA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течению: рецидивирующее, латентное.</w:t>
      </w:r>
    </w:p>
    <w:p w:rsidR="00930173" w:rsidRPr="00B14078" w:rsidRDefault="00930173" w:rsidP="00B1407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фазе заболевания: обострение, неполная клинико-лабораторная ремиссия, полная клинико-лабораторная ремиссия.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Клиническая картина хронического холецистохолангита у 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разнообразна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характеризуется длительным волнообразным течением с периодическими обострениями.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развивается постепенно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начальном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периоде протекает в виде хронической интоксикации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головных болей, раздражительности, вялости, снижения аппетита, субфебрильной температуры.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Течение заболевания длительное. Различают период обострения, неполной и полной клинико-лабораторной ремиссии.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Ведущим синдромом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обострении заболевания является болевой. Боли в животе отмечаются в 80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95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%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случаев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могут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носить острый приступообразный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напоминая клинику острого аппендицита, либо тупой,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ноющий,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периодически усиливающийся. Боли локализуются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могут иррадиировать в правую лопатку. Возникновение или усиление боли связано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погрешностями в диете, эмоциональным или физическим переутомлением.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синдром практически всегда сопровождается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диспептическим, характеризующимся тошнотой,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рвотой,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горечью во рту, отрыжкой, расстройством стула.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осмотре обращает на себя внимание бледность кожных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покровов, обложенность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языка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желтоватым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налетом.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паль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пации живота определяется болезненность в области 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резко положительные пузырные симптомы. Почти у всех больных отмечается увеличение печени до 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хроническом холецистохолангите нередко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патологический процесс вовлекаются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другие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органы пищеварительной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 несколько меняет клиническую картину основного заболевания.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периоде неполной клинико-лабораторной ремиссии симптоматика менее выражена: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 в животе отсутствует, но сохраняются локальная 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отдельные диспептические явления и симптомы общей интоксикации.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Диагностика хронического холецистохолангита основана на данных анамнеза,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клинической картины,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инструментальных методов исследования.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обострения в периферическом анализе крови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возможны умеренный лейкоцитоз со сдвигом лейкоцитарной формулы влево, увеличение СОЭ. Показано исследование протеинограммы, тимоловой пробы. Уровень индикаторных ферментов (АлАТ, АсАТ) в крови повышается редко.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Большое диагностическое значение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имеют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биохимические маркеры холестаза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экскреторные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ферменты (щелочная фосфатаза, лейцинаминопептидаза,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noBreakHyphen/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уклеотидаза).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синдроме холестаза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биохимическом анализе крови повышается уровень билирубина, холестерина,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кислот,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липопротеидов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низкой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молекулярной массой.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инструментальных методов исследования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информативным и приемлемым в педиатрии является ультразвуковой.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Дети в период обострения хронического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 госпитализируются.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Больным назначается постельный режим, длительность которого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патологическими синдромами (болевым,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интоксикационным, диспептическим). Лечебное питание предусматривает щадящий пищевой режим.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 основу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диетического питания принят стол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обострения назначают антибиотики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широкого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спектра действия, преимущественно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выделяющиеся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желчью. Длительность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антибактериальной терапии не должна превышать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недели.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целью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профилактики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дисбактериоза кишечника параллельно назначаются эубиотики (лактобактерин, диалакт).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Широко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используются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желчегонные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нормализуют секреторную и экскреторную функции 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уменьшают холестаз. Выбор препаратов зависит от формы нарушения моторики желчных путей.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Больным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отягощенным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аллергологическим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анамнезом с целью снижения специфической и неспецифической сенсибилизации организма показано назначение антигистаминных препаратов коротким курсом.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Параллельно с основной терапией проводится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симптоматическая терапия,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сопутствующей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желудочно-кишечного тракта.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Целесообразно назначение минеральной воды слабой минерализации в теплом виде.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отсутствии конкрементов в желчном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пузыре применяют тюбажи по Демьянову,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способствуют выведению из организма холестерина,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уменьшают воспалительные явления, ведут к рефлекторному опорожнению желчного пузыря. На курс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показано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процедур с интервалом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дня.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Физиотерапевтическим методам лечения придается важное значение, поскольку они оказывают тепловое, спазмолитическое, седативное действие,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усиливают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желчеобразование и желчевыделение.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достижения клинического эффекта рекомендуется 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 процедур. При обострении заболевания показаны сеансы токов УВЧ, в период неполной клинико-лабораторной ремиссии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диатермия, электрофорез растворов магнезии, новокаина в чередовании с парафиновыми аппликациями.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Одним 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обязательных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компонентов патогенетической терапии является лечебная физкультура и гигиеническая гимнастика.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выписки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стационара рекомендуется амбулаторное лечение.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Показаны противорецидивные курсы лечения в осенне-весенний период: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детям назначают в течение первых 10 дней каждого месяца желчегонные средства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зависимости от формы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поражения билиарной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течение вторых 10 дней каждого месяца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отвары желчегонных трав и в течение последующих 10 дней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месяца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Длительность диспансерного наблюдения за детьми, перенесшими обострение хронического холецистохолангита, составляет 3 года.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Желчнокаменная болезнь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Желчнокаменная болезнь (холелитиаз)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987A91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характеризую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щееся образованием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конкрементов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пузыре и (или) желчных протоках.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механизме образования желчных камней основное значение имеют 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метаболизма и прежде всего холестеринового обмена: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снижение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концентрации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кислот, фосфолипидов или повышение содержания холестерина в желчи нарушает стабильность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белково-липидного комплекса желчи и способствует выпадению солей холестерина.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Немаловажную роль играют также застой,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дискриния и воспалительные изменения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способствующие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осаждению составных компонентов желчи в виде мелких частиц,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последующем формируются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камни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Предрасполагающими факторами являются наследственно обусловленная дисхолия, ожирение, гипотиреоз, сахарный диабет, отягощенная наследственность, заболевания печени, аномалии развития билиарной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избыточное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употребление богатой жирами и холестерином пищи, гиповитаминоз А.</w:t>
      </w:r>
    </w:p>
    <w:p w:rsidR="00AA2FA8" w:rsidRDefault="00AA2FA8" w:rsidP="00B14078">
      <w:pPr>
        <w:pStyle w:val="a5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Классификация желчнокаменной болезни</w:t>
      </w:r>
    </w:p>
    <w:p w:rsidR="00930173" w:rsidRPr="00B14078" w:rsidRDefault="00930173" w:rsidP="00B14078">
      <w:pPr>
        <w:pStyle w:val="a5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AA2FA8">
      <w:pPr>
        <w:pStyle w:val="a5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течению: атипичная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(малосимптомная), типичная.</w:t>
      </w:r>
    </w:p>
    <w:p w:rsidR="00930173" w:rsidRPr="00B14078" w:rsidRDefault="00930173" w:rsidP="00AA2FA8">
      <w:pPr>
        <w:pStyle w:val="a5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 стадиям развития: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физико-химическая (нарушение коллоидных свойств желчи, синдром «сгущения желчи»;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микрокалькулез (конкременты до </w:t>
      </w:r>
      <w:smartTag w:uri="urn:schemas-microsoft-com:office:smarttags" w:element="metricconverter">
        <w:smartTagPr>
          <w:attr w:name="ProductID" w:val="5 мм"/>
        </w:smartTagPr>
        <w:r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5</w:t>
        </w:r>
        <w:r w:rsid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 </w:t>
        </w:r>
        <w:r w:rsidR="00B14078"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мм</w:t>
        </w:r>
      </w:smartTag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III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макрокалькулез (конкременты более </w:t>
      </w:r>
      <w:smartTag w:uri="urn:schemas-microsoft-com:office:smarttags" w:element="metricconverter">
        <w:smartTagPr>
          <w:attr w:name="ProductID" w:val="5 мм"/>
        </w:smartTagPr>
        <w:r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5</w:t>
        </w:r>
        <w:r w:rsid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 </w:t>
        </w:r>
        <w:r w:rsidR="00B14078"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мм</w:t>
        </w:r>
      </w:smartTag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диаметре).</w:t>
      </w:r>
    </w:p>
    <w:p w:rsidR="00930173" w:rsidRPr="00B14078" w:rsidRDefault="00930173" w:rsidP="00AA2FA8">
      <w:pPr>
        <w:pStyle w:val="a5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степени тяжести: легкая, среднетяжелая, тяжелая.</w:t>
      </w:r>
    </w:p>
    <w:p w:rsidR="00930173" w:rsidRPr="00B14078" w:rsidRDefault="00930173" w:rsidP="00B14078">
      <w:pPr>
        <w:pStyle w:val="a5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Проявления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 болезни зависят от места расположения камней, их размеров, активности воспалительного процесса, функционального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состояния билиарной системы.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Различают две формы заболевания: латентную и явную.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большинства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протекает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латентно без приступообразных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колики. Дети периодически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предъявляют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жалобы на боли в животе различной локализации, но чаще в 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пилородуоденальной зоне. В большинстве случаев боли ранние, возникают через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или 30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минут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приема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Характерны диспептические проявления (тошнота,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рвота, горечь во рту, снижение аппетита).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отличие от взрослых, у детей отсутствует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четкая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непереносимость жареной и жирной пищи. При пальпации живота определяются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области правого 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положительные пузырные симптомы,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увеличение 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степень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выраженности которых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периода заболевания (обострение,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ремиссия).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Явная форма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 болезни проявляется типичной печеночной коликой.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Возникновение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колики чаще связано с погрешностями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диете,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психоэмоциональной перегрузкой. Острые, интенсивные боли в животе возникают внезапно, локализуются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эпигастрии,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иррадиируют в правое плечо,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лопатку. Больные крайне беспокойны, не находят удобного положения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постели,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стонут. Продолжительность болевого приступа колеблется от нескольких минут до нескольких часов. Колика обычно сопровождается повышением температуры тела, диспептическими проявлениями, нередко отмечается вагус-феномен (учащение дыхания и урежение пульса). При пальпации живота во время приступа определяют резкую болезненность и защитное напряжение мышц в 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печеночной колики заканчивается после прохождения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камня по желчным путям.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случае закупорки просвета общего желчного протока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быстро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желтуха,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появляется ахоличный стул, темная моча.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диагностике желчнокаменной болезни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 с тщательно собранным анамнезом и клинической картиной важное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значение имеют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инструментальные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методы исследования. В общем анализе крови отмечается лейкоцитоз, нейтрофилез со сдвигом лейкоцитарной формулы влево,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увеличение СОЭ. В общем анализе мочи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протеинурия, глюкозурия, уробилинурия.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развитии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механической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желтухи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биохимическом анализе крови повышается уровень прямого билирубина, общих липидов,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холестерина, щелочной фосфатазы.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инструментальных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методов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широкое распространение получило ультразвуковое исследование, позволяющее диагностировать желчнокаменную болезнь,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определять местонахождение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конкрементов, их размеры. Оральная и внутривенная холецистография позволяет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визуализировать камни и определять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их местонахождение. Однако следует помнить, что пигментные и холестериновые камни обычно не обнаруживаются и только смешанные камни, содержащие много извести, задерживают рентгеновские лучи.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Основные принципы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болезни аналогичны лечебным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мероприятиям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остром холецистохолангите. Больным назначают диету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 ограничением пищи,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богатой жирами и холестерином, лекарственные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средства,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купирующие воспалительный процесс и способствующие нормализации моторики желчевыводящих путей. Приступы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печеночной колики купируют назначением спазмолитиков, обезболивающих средств и наркотических аналгетиков.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 купирования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рекомендуется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желчегонный чай, стимулирующий выделение жидкой желчи, теплое питье.</w:t>
      </w:r>
    </w:p>
    <w:p w:rsid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последние годы для увеличения растворимости холестериновых камней используется хенодезоксихолевая кислота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расчета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 мг/кг в сутки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или урсодезоксихолевая кислота из расчета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мг/кг в сутки в течение нескольких месяцев. Легче растворяются камни небольшого размера (5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рецидивирующем течении заболевания с повторными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приступами печеночной колики решается вопрос об оперативном лечении.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Дети, страдающие 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болезнью, находятся на диспансерном учете до 14 лет с последующей передачей их под наблюдение в подростковый кабинет. Противорецидивное лечение проводится так же, как и при хроническом холецистохолангите.</w:t>
      </w:r>
    </w:p>
    <w:p w:rsidR="00930173" w:rsidRPr="00B14078" w:rsidRDefault="00930173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9CE" w:rsidRPr="00B14078" w:rsidRDefault="00B749CE" w:rsidP="00B140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AA2FA8" w:rsidP="00B14078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B14078">
        <w:rPr>
          <w:color w:val="000000"/>
          <w:szCs w:val="28"/>
        </w:rPr>
        <w:t>Литература</w:t>
      </w:r>
    </w:p>
    <w:p w:rsidR="00930173" w:rsidRPr="00B14078" w:rsidRDefault="00930173" w:rsidP="00B14078">
      <w:pPr>
        <w:pStyle w:val="23"/>
        <w:tabs>
          <w:tab w:val="clear" w:pos="9356"/>
        </w:tabs>
        <w:suppressAutoHyphens w:val="0"/>
        <w:spacing w:line="360" w:lineRule="auto"/>
        <w:ind w:left="0" w:firstLine="709"/>
        <w:jc w:val="both"/>
        <w:rPr>
          <w:color w:val="000000"/>
        </w:rPr>
      </w:pPr>
    </w:p>
    <w:p w:rsidR="00930173" w:rsidRPr="00B14078" w:rsidRDefault="00B14078" w:rsidP="00AA2FA8">
      <w:pPr>
        <w:pStyle w:val="23"/>
        <w:numPr>
          <w:ilvl w:val="0"/>
          <w:numId w:val="7"/>
        </w:numPr>
        <w:tabs>
          <w:tab w:val="clear" w:pos="9356"/>
        </w:tabs>
        <w:suppressAutoHyphens w:val="0"/>
        <w:spacing w:line="360" w:lineRule="auto"/>
        <w:ind w:left="0" w:firstLine="0"/>
        <w:jc w:val="both"/>
        <w:rPr>
          <w:color w:val="000000"/>
        </w:rPr>
      </w:pPr>
      <w:r w:rsidRPr="00B14078">
        <w:rPr>
          <w:color w:val="000000"/>
        </w:rPr>
        <w:t>Битти</w:t>
      </w:r>
      <w:r>
        <w:rPr>
          <w:color w:val="000000"/>
        </w:rPr>
        <w:t> </w:t>
      </w:r>
      <w:r w:rsidRPr="00B14078">
        <w:rPr>
          <w:color w:val="000000"/>
        </w:rPr>
        <w:t>А.Д.</w:t>
      </w:r>
      <w:r>
        <w:rPr>
          <w:color w:val="000000"/>
        </w:rPr>
        <w:t> </w:t>
      </w:r>
      <w:r w:rsidRPr="00B14078">
        <w:rPr>
          <w:color w:val="000000"/>
        </w:rPr>
        <w:t>Диагностические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тесты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в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гастроэнтерологии: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Пер. с англ. </w:t>
      </w:r>
      <w:r>
        <w:rPr>
          <w:color w:val="000000"/>
        </w:rPr>
        <w:t>–</w:t>
      </w:r>
      <w:r w:rsidRPr="00B14078"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М.: Медицина, 1995. </w:t>
      </w:r>
      <w:r>
        <w:rPr>
          <w:color w:val="000000"/>
        </w:rPr>
        <w:t>–</w:t>
      </w:r>
      <w:r w:rsidRPr="00B14078">
        <w:rPr>
          <w:color w:val="000000"/>
        </w:rPr>
        <w:t xml:space="preserve"> 224</w:t>
      </w:r>
      <w:r>
        <w:rPr>
          <w:color w:val="000000"/>
        </w:rPr>
        <w:t> </w:t>
      </w:r>
      <w:r w:rsidRPr="00B14078">
        <w:rPr>
          <w:color w:val="000000"/>
        </w:rPr>
        <w:t>с.</w:t>
      </w:r>
    </w:p>
    <w:p w:rsidR="00930173" w:rsidRPr="00B14078" w:rsidRDefault="00930173" w:rsidP="00AA2FA8">
      <w:pPr>
        <w:pStyle w:val="3"/>
        <w:numPr>
          <w:ilvl w:val="0"/>
          <w:numId w:val="7"/>
        </w:numPr>
        <w:tabs>
          <w:tab w:val="clear" w:pos="567"/>
        </w:tabs>
        <w:suppressAutoHyphens w:val="0"/>
        <w:spacing w:line="360" w:lineRule="auto"/>
        <w:ind w:left="0" w:firstLine="0"/>
        <w:rPr>
          <w:color w:val="000000"/>
        </w:rPr>
      </w:pPr>
      <w:r w:rsidRPr="00B14078">
        <w:rPr>
          <w:color w:val="000000"/>
        </w:rPr>
        <w:t>Болезни органов пищеварения у детей: Рук-во для врачей /</w:t>
      </w:r>
      <w:r w:rsidR="00AA2FA8">
        <w:rPr>
          <w:color w:val="000000"/>
        </w:rPr>
        <w:t xml:space="preserve"> </w:t>
      </w:r>
      <w:r w:rsidRPr="00B14078">
        <w:rPr>
          <w:color w:val="000000"/>
        </w:rPr>
        <w:t xml:space="preserve">Под ред. </w:t>
      </w:r>
      <w:r w:rsidR="00B14078" w:rsidRPr="00B14078">
        <w:rPr>
          <w:color w:val="000000"/>
        </w:rPr>
        <w:t>А.В.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Мазурина</w:t>
      </w:r>
      <w:r w:rsidRPr="00B14078">
        <w:rPr>
          <w:color w:val="000000"/>
        </w:rPr>
        <w:t xml:space="preserve">. </w:t>
      </w:r>
      <w:r w:rsidR="00B14078">
        <w:rPr>
          <w:color w:val="000000"/>
        </w:rPr>
        <w:t>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М.: Медицина, 1984.</w:t>
      </w:r>
      <w:r w:rsidR="00B14078">
        <w:rPr>
          <w:color w:val="000000"/>
        </w:rPr>
        <w:t> 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656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с.</w:t>
      </w:r>
    </w:p>
    <w:p w:rsidR="00930173" w:rsidRPr="00B14078" w:rsidRDefault="00B14078" w:rsidP="00AA2FA8">
      <w:pPr>
        <w:pStyle w:val="3"/>
        <w:numPr>
          <w:ilvl w:val="0"/>
          <w:numId w:val="7"/>
        </w:numPr>
        <w:tabs>
          <w:tab w:val="clear" w:pos="567"/>
        </w:tabs>
        <w:suppressAutoHyphens w:val="0"/>
        <w:spacing w:line="360" w:lineRule="auto"/>
        <w:ind w:left="0" w:firstLine="0"/>
        <w:rPr>
          <w:color w:val="000000"/>
        </w:rPr>
      </w:pPr>
      <w:r w:rsidRPr="00B14078">
        <w:rPr>
          <w:color w:val="000000"/>
        </w:rPr>
        <w:t>Бунтин</w:t>
      </w:r>
      <w:r>
        <w:rPr>
          <w:color w:val="000000"/>
        </w:rPr>
        <w:t> </w:t>
      </w:r>
      <w:r w:rsidRPr="00B14078">
        <w:rPr>
          <w:color w:val="000000"/>
        </w:rPr>
        <w:t>С.Е.</w:t>
      </w:r>
      <w:r>
        <w:rPr>
          <w:color w:val="000000"/>
        </w:rPr>
        <w:t> </w:t>
      </w:r>
      <w:r w:rsidRPr="00B14078">
        <w:rPr>
          <w:color w:val="000000"/>
        </w:rPr>
        <w:t>Дискинезия</w:t>
      </w:r>
      <w:r w:rsidR="00930173" w:rsidRPr="00B14078">
        <w:rPr>
          <w:color w:val="000000"/>
        </w:rPr>
        <w:t xml:space="preserve"> билиарного тракта (клинико-инструментальная, лабораторная диагностика и вопросы лечения): Автореф. дис</w:t>
      </w:r>
      <w:r>
        <w:rPr>
          <w:color w:val="000000"/>
        </w:rPr>
        <w:t>…</w:t>
      </w:r>
      <w:r w:rsidR="00930173" w:rsidRPr="00B14078">
        <w:rPr>
          <w:color w:val="000000"/>
        </w:rPr>
        <w:t xml:space="preserve">. канд. мед. наук. </w:t>
      </w:r>
      <w:r>
        <w:rPr>
          <w:color w:val="000000"/>
        </w:rPr>
        <w:t>–</w:t>
      </w:r>
      <w:r w:rsidRPr="00B14078"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М., 1992. </w:t>
      </w:r>
      <w:r>
        <w:rPr>
          <w:color w:val="000000"/>
        </w:rPr>
        <w:t>–</w:t>
      </w:r>
      <w:r w:rsidRPr="00B14078">
        <w:rPr>
          <w:color w:val="000000"/>
        </w:rPr>
        <w:t xml:space="preserve"> 20</w:t>
      </w:r>
      <w:r>
        <w:rPr>
          <w:color w:val="000000"/>
        </w:rPr>
        <w:t> </w:t>
      </w:r>
      <w:r w:rsidRPr="00B14078">
        <w:rPr>
          <w:color w:val="000000"/>
        </w:rPr>
        <w:t>с.</w:t>
      </w:r>
    </w:p>
    <w:p w:rsidR="00930173" w:rsidRPr="00B14078" w:rsidRDefault="00930173" w:rsidP="00AA2FA8">
      <w:pPr>
        <w:pStyle w:val="3"/>
        <w:numPr>
          <w:ilvl w:val="0"/>
          <w:numId w:val="7"/>
        </w:numPr>
        <w:tabs>
          <w:tab w:val="left" w:pos="9072"/>
        </w:tabs>
        <w:suppressAutoHyphens w:val="0"/>
        <w:spacing w:line="360" w:lineRule="auto"/>
        <w:ind w:left="0" w:firstLine="0"/>
        <w:rPr>
          <w:color w:val="000000"/>
        </w:rPr>
      </w:pPr>
      <w:r w:rsidRPr="00B14078">
        <w:rPr>
          <w:color w:val="000000"/>
        </w:rPr>
        <w:t xml:space="preserve">Восстановительное лечение детей с хроническими заболеваниями органов пищеварения: Метод рекомендации. </w:t>
      </w:r>
      <w:r w:rsidR="00B14078">
        <w:rPr>
          <w:color w:val="000000"/>
        </w:rPr>
        <w:t>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М., 1990.</w:t>
      </w:r>
      <w:r w:rsidR="00B14078">
        <w:rPr>
          <w:color w:val="000000"/>
        </w:rPr>
        <w:t> 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28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Гафуров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Дискинезия</w:t>
      </w:r>
      <w:r w:rsidR="00930173" w:rsidRPr="00B14078">
        <w:rPr>
          <w:color w:val="000000"/>
          <w:sz w:val="28"/>
          <w:szCs w:val="28"/>
        </w:rPr>
        <w:t xml:space="preserve"> желчевыводящих путей у подростков (клинико-эхографическое исследование): Автореф. дис</w:t>
      </w:r>
      <w:r>
        <w:rPr>
          <w:color w:val="000000"/>
          <w:sz w:val="28"/>
          <w:szCs w:val="28"/>
        </w:rPr>
        <w:t>…</w:t>
      </w:r>
      <w:r w:rsidR="00930173" w:rsidRPr="00B14078">
        <w:rPr>
          <w:color w:val="000000"/>
          <w:sz w:val="28"/>
          <w:szCs w:val="28"/>
        </w:rPr>
        <w:t xml:space="preserve">. канд. мед. наук.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Ташкент, 1995.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Дворяковский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И.В.</w:t>
      </w:r>
      <w:r w:rsidR="00930173" w:rsidRPr="00B14078">
        <w:rPr>
          <w:color w:val="000000"/>
          <w:sz w:val="28"/>
          <w:szCs w:val="28"/>
        </w:rPr>
        <w:t xml:space="preserve">, </w:t>
      </w:r>
      <w:r w:rsidRPr="00B14078">
        <w:rPr>
          <w:color w:val="000000"/>
          <w:sz w:val="28"/>
          <w:szCs w:val="28"/>
        </w:rPr>
        <w:t>Чурсин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В.И.</w:t>
      </w:r>
      <w:r w:rsidR="00930173" w:rsidRPr="00B14078">
        <w:rPr>
          <w:color w:val="000000"/>
          <w:sz w:val="28"/>
          <w:szCs w:val="28"/>
        </w:rPr>
        <w:t xml:space="preserve">, </w:t>
      </w:r>
      <w:r w:rsidRPr="00B14078">
        <w:rPr>
          <w:color w:val="000000"/>
          <w:sz w:val="28"/>
          <w:szCs w:val="28"/>
        </w:rPr>
        <w:t>Сафронов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Ультразвуковая</w:t>
      </w:r>
      <w:r w:rsidR="00930173" w:rsidRPr="00B14078">
        <w:rPr>
          <w:color w:val="000000"/>
          <w:sz w:val="28"/>
          <w:szCs w:val="28"/>
        </w:rPr>
        <w:t xml:space="preserve"> диагностика в педиатрии.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Л.: Медицина, 1987.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Денисов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М.Ю.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Практическая</w:t>
      </w:r>
      <w:r w:rsidR="00930173" w:rsidRPr="00B14078">
        <w:rPr>
          <w:color w:val="000000"/>
          <w:sz w:val="28"/>
          <w:szCs w:val="28"/>
        </w:rPr>
        <w:t xml:space="preserve"> гастроэнтерология для педиатра.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М.: Издатель Мокеев, 2001.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376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tabs>
          <w:tab w:val="left" w:pos="567"/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Динамическое наблюдение детского населения Республики Беларусь: Уч.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метод. пособие /</w:t>
      </w:r>
      <w:r w:rsidR="00B14078" w:rsidRPr="00B14078">
        <w:rPr>
          <w:color w:val="000000"/>
          <w:sz w:val="28"/>
          <w:szCs w:val="28"/>
        </w:rPr>
        <w:t>Я.Ф.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Комяк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А.В.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Сукало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П.И.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Беспальчук</w:t>
      </w:r>
      <w:r w:rsidRPr="00B14078">
        <w:rPr>
          <w:color w:val="000000"/>
          <w:sz w:val="28"/>
          <w:szCs w:val="28"/>
        </w:rPr>
        <w:t xml:space="preserve"> и др. </w:t>
      </w:r>
      <w:r w:rsidR="00B14078">
        <w:rPr>
          <w:color w:val="000000"/>
          <w:sz w:val="28"/>
          <w:szCs w:val="28"/>
        </w:rPr>
        <w:t xml:space="preserve">– </w:t>
      </w:r>
      <w:r w:rsidRPr="00B14078">
        <w:rPr>
          <w:color w:val="000000"/>
          <w:sz w:val="28"/>
          <w:szCs w:val="28"/>
        </w:rPr>
        <w:t>Мн.: МГМИ, 2001.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119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Заболевания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органов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пищеварения у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детей 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/Под ред. </w:t>
      </w:r>
      <w:r w:rsidR="00B14078" w:rsidRPr="00B14078">
        <w:rPr>
          <w:color w:val="000000"/>
          <w:sz w:val="28"/>
          <w:szCs w:val="28"/>
        </w:rPr>
        <w:t>А.А.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Баранова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Е.В.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Климанской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Г.В.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Римарчук</w:t>
      </w:r>
      <w:r w:rsidRPr="00B14078">
        <w:rPr>
          <w:color w:val="000000"/>
          <w:sz w:val="28"/>
          <w:szCs w:val="28"/>
        </w:rPr>
        <w:t xml:space="preserve">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М.: Медицина, 1996.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304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Здравоохранение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в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Республике Беларусь: Официальный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статисти-ческий сборник.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Мн.: БелЦНМИ, 2000.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366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Златкина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А.Р.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Фармакотерапия</w:t>
      </w:r>
      <w:r w:rsidR="00930173" w:rsidRPr="00B14078">
        <w:rPr>
          <w:color w:val="000000"/>
          <w:sz w:val="28"/>
          <w:szCs w:val="28"/>
        </w:rPr>
        <w:t xml:space="preserve"> хронических болезней органов пи-щеварения.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М., 1998.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288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3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Пайков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В.Л.</w:t>
      </w:r>
      <w:r w:rsidR="00930173" w:rsidRPr="00B14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Хацкель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С.Б.</w:t>
      </w:r>
      <w:r w:rsidR="00930173" w:rsidRPr="00B14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Эрман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Гастроэнтерология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детского возраста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схемах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и таблицах: Справ. рук-</w:t>
      </w:r>
      <w:r w:rsidRPr="00B14078">
        <w:rPr>
          <w:color w:val="000000"/>
          <w:sz w:val="28"/>
          <w:szCs w:val="28"/>
        </w:rPr>
        <w:t>во</w:t>
      </w:r>
      <w:r w:rsidR="00AA2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СПб</w:t>
      </w:r>
      <w:r w:rsidR="00930173" w:rsidRPr="00B14078">
        <w:rPr>
          <w:color w:val="000000"/>
          <w:sz w:val="28"/>
          <w:szCs w:val="28"/>
        </w:rPr>
        <w:t xml:space="preserve">: Спец. литература, 1998.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534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Пушко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Болезни</w:t>
      </w:r>
      <w:r w:rsidR="00930173" w:rsidRPr="00B14078">
        <w:rPr>
          <w:color w:val="000000"/>
          <w:sz w:val="28"/>
          <w:szCs w:val="28"/>
        </w:rPr>
        <w:t xml:space="preserve"> желчевыводящих путей у детей младшего и старшего возраста</w:t>
      </w:r>
      <w:r w:rsidRPr="00B14078">
        <w:rPr>
          <w:color w:val="000000"/>
          <w:sz w:val="28"/>
          <w:szCs w:val="28"/>
        </w:rPr>
        <w:t>:</w:t>
      </w:r>
      <w:r w:rsidR="00930173" w:rsidRPr="00B14078">
        <w:rPr>
          <w:color w:val="000000"/>
          <w:sz w:val="28"/>
          <w:szCs w:val="28"/>
        </w:rPr>
        <w:t xml:space="preserve"> Метод. рекомендации.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М., 1991.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Современные представления о лечении детей с дискинезиями желчевыводящих путей /</w:t>
      </w:r>
      <w:r w:rsidR="00B14078" w:rsidRPr="00B14078">
        <w:rPr>
          <w:color w:val="000000"/>
          <w:sz w:val="28"/>
          <w:szCs w:val="28"/>
        </w:rPr>
        <w:t>Зайцева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О.В.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Намазова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О.С.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Царькова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О.Н.</w:t>
      </w:r>
      <w:r w:rsidRPr="00B14078">
        <w:rPr>
          <w:color w:val="000000"/>
          <w:sz w:val="28"/>
          <w:szCs w:val="28"/>
        </w:rPr>
        <w:t xml:space="preserve"> и др.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//</w:t>
      </w:r>
      <w:r w:rsidR="00B14078">
        <w:rPr>
          <w:color w:val="000000"/>
          <w:sz w:val="28"/>
          <w:szCs w:val="28"/>
        </w:rPr>
        <w:t xml:space="preserve"> </w:t>
      </w:r>
      <w:r w:rsidR="00B14078" w:rsidRPr="00B14078">
        <w:rPr>
          <w:color w:val="000000"/>
          <w:sz w:val="28"/>
          <w:szCs w:val="28"/>
        </w:rPr>
        <w:t>Р</w:t>
      </w:r>
      <w:r w:rsidR="00AA2FA8">
        <w:rPr>
          <w:color w:val="000000"/>
          <w:sz w:val="28"/>
          <w:szCs w:val="28"/>
        </w:rPr>
        <w:t>ос. журнал гастроэнтеролог, гепатолог, колопроктолог</w:t>
      </w:r>
      <w:r w:rsidRPr="00B14078">
        <w:rPr>
          <w:color w:val="000000"/>
          <w:sz w:val="28"/>
          <w:szCs w:val="28"/>
        </w:rPr>
        <w:t xml:space="preserve">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1998.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="00B14078">
        <w:rPr>
          <w:color w:val="000000"/>
          <w:sz w:val="28"/>
          <w:szCs w:val="28"/>
        </w:rPr>
        <w:t>№</w:t>
      </w:r>
      <w:r w:rsidR="00B14078" w:rsidRPr="00B14078">
        <w:rPr>
          <w:color w:val="000000"/>
          <w:sz w:val="28"/>
          <w:szCs w:val="28"/>
        </w:rPr>
        <w:t>1</w:t>
      </w:r>
      <w:r w:rsidRPr="00B14078">
        <w:rPr>
          <w:color w:val="000000"/>
          <w:sz w:val="28"/>
          <w:szCs w:val="28"/>
        </w:rPr>
        <w:t xml:space="preserve">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С.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84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>8</w:t>
      </w:r>
      <w:r w:rsidRPr="00B14078">
        <w:rPr>
          <w:color w:val="000000"/>
          <w:sz w:val="28"/>
          <w:szCs w:val="28"/>
        </w:rPr>
        <w:t>7.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Справочник по детской гастроэнтерологии /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Под </w:t>
      </w:r>
      <w:r w:rsidR="00B14078" w:rsidRPr="00B14078">
        <w:rPr>
          <w:color w:val="000000"/>
          <w:sz w:val="28"/>
          <w:szCs w:val="28"/>
        </w:rPr>
        <w:t>ред.</w:t>
      </w:r>
      <w:r w:rsidR="00B14078">
        <w:rPr>
          <w:color w:val="000000"/>
          <w:sz w:val="28"/>
          <w:szCs w:val="28"/>
        </w:rPr>
        <w:t xml:space="preserve"> </w:t>
      </w:r>
      <w:r w:rsidR="00B14078" w:rsidRPr="00B14078">
        <w:rPr>
          <w:color w:val="000000"/>
          <w:sz w:val="28"/>
          <w:szCs w:val="28"/>
        </w:rPr>
        <w:t>А.М.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Запруднова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А.И.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Волкова</w:t>
      </w:r>
      <w:r w:rsidRPr="00B14078">
        <w:rPr>
          <w:color w:val="000000"/>
          <w:sz w:val="28"/>
          <w:szCs w:val="28"/>
        </w:rPr>
        <w:t>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М.: Медицина, 1995.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384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Фролькис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Функциональные</w:t>
      </w:r>
      <w:r w:rsidR="00930173" w:rsidRPr="00B14078">
        <w:rPr>
          <w:color w:val="000000"/>
          <w:sz w:val="28"/>
          <w:szCs w:val="28"/>
        </w:rPr>
        <w:t xml:space="preserve"> заболевания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желудочно-кишечного тракта.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Л.: Медицина, 1991.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224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Фролькис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Заболевания</w:t>
      </w:r>
      <w:r w:rsidR="00930173" w:rsidRPr="00B14078">
        <w:rPr>
          <w:color w:val="000000"/>
          <w:sz w:val="28"/>
          <w:szCs w:val="28"/>
        </w:rPr>
        <w:t xml:space="preserve"> желудочно-кишечного тракта и наследственность.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СПб.: Спец. литература, 1995.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288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Фролькис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Современная</w:t>
      </w:r>
      <w:r w:rsidR="00930173" w:rsidRPr="00B14078">
        <w:rPr>
          <w:color w:val="000000"/>
          <w:sz w:val="28"/>
          <w:szCs w:val="28"/>
        </w:rPr>
        <w:t xml:space="preserve"> фармакотерапия в гастроэнтерологии.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СПб.</w:t>
      </w:r>
      <w:r w:rsidRPr="00B14078">
        <w:rPr>
          <w:color w:val="000000"/>
          <w:sz w:val="28"/>
          <w:szCs w:val="28"/>
        </w:rPr>
        <w:t>:</w:t>
      </w:r>
      <w:r w:rsidR="00930173" w:rsidRPr="00B14078">
        <w:rPr>
          <w:color w:val="000000"/>
          <w:sz w:val="28"/>
          <w:szCs w:val="28"/>
        </w:rPr>
        <w:t xml:space="preserve"> Спец. литература, 2000.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190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930173" w:rsidRPr="00B14078" w:rsidSect="00987A9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274C"/>
    <w:multiLevelType w:val="hybridMultilevel"/>
    <w:tmpl w:val="8FFE7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5567BBD"/>
    <w:multiLevelType w:val="hybridMultilevel"/>
    <w:tmpl w:val="8D103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02656D9"/>
    <w:multiLevelType w:val="hybridMultilevel"/>
    <w:tmpl w:val="0A280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2767E4"/>
    <w:multiLevelType w:val="hybridMultilevel"/>
    <w:tmpl w:val="D49E4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D394CFB"/>
    <w:multiLevelType w:val="hybridMultilevel"/>
    <w:tmpl w:val="DDACD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8A85ADE"/>
    <w:multiLevelType w:val="hybridMultilevel"/>
    <w:tmpl w:val="A1887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6301A61"/>
    <w:multiLevelType w:val="hybridMultilevel"/>
    <w:tmpl w:val="7D4A0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88A53E8"/>
    <w:multiLevelType w:val="hybridMultilevel"/>
    <w:tmpl w:val="7878122E"/>
    <w:lvl w:ilvl="0" w:tplc="6D1E97B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DE1A413E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783D43"/>
    <w:multiLevelType w:val="hybridMultilevel"/>
    <w:tmpl w:val="E4A8A2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FBF1285"/>
    <w:multiLevelType w:val="hybridMultilevel"/>
    <w:tmpl w:val="6F3AA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9CE"/>
    <w:rsid w:val="00044A79"/>
    <w:rsid w:val="003013E4"/>
    <w:rsid w:val="003A435D"/>
    <w:rsid w:val="008C00C9"/>
    <w:rsid w:val="00930173"/>
    <w:rsid w:val="00987A91"/>
    <w:rsid w:val="00A01F93"/>
    <w:rsid w:val="00AA2FA8"/>
    <w:rsid w:val="00AE7F1D"/>
    <w:rsid w:val="00B14078"/>
    <w:rsid w:val="00B749CE"/>
    <w:rsid w:val="00F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7DCC9F-7619-4121-9DBB-C79FFAD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8647"/>
      </w:tabs>
      <w:suppressAutoHyphens/>
      <w:autoSpaceDE w:val="0"/>
      <w:autoSpaceDN w:val="0"/>
      <w:adjustRightInd w:val="0"/>
      <w:jc w:val="center"/>
      <w:outlineLvl w:val="6"/>
    </w:pPr>
    <w:rPr>
      <w:b/>
      <w:bCs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8647"/>
      </w:tabs>
      <w:suppressAutoHyphens/>
      <w:autoSpaceDE w:val="0"/>
      <w:autoSpaceDN w:val="0"/>
      <w:adjustRightInd w:val="0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autoSpaceDE w:val="0"/>
      <w:autoSpaceDN w:val="0"/>
    </w:pPr>
    <w:rPr>
      <w:rFonts w:eastAsia="MS Mincho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8647"/>
      </w:tabs>
      <w:suppressAutoHyphens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left" w:pos="9356"/>
      </w:tabs>
      <w:suppressAutoHyphens/>
      <w:autoSpaceDE w:val="0"/>
      <w:autoSpaceDN w:val="0"/>
      <w:adjustRightInd w:val="0"/>
      <w:ind w:left="11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left" w:pos="567"/>
      </w:tabs>
      <w:suppressAutoHyphens/>
      <w:autoSpaceDE w:val="0"/>
      <w:autoSpaceDN w:val="0"/>
      <w:adjustRightInd w:val="0"/>
      <w:ind w:left="113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B140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38246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netuser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2014-02-24T23:47:00Z</dcterms:created>
  <dcterms:modified xsi:type="dcterms:W3CDTF">2014-02-24T23:47:00Z</dcterms:modified>
</cp:coreProperties>
</file>