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639" w:rsidRDefault="005D7F6A">
      <w:pPr>
        <w:pStyle w:val="1"/>
        <w:jc w:val="center"/>
      </w:pPr>
      <w:r>
        <w:t>Задача по бухучету</w:t>
      </w:r>
    </w:p>
    <w:p w:rsidR="00E13639" w:rsidRDefault="005D7F6A">
      <w:pPr>
        <w:pStyle w:val="1"/>
        <w:divId w:val="2013292853"/>
      </w:pPr>
      <w:r>
        <w:t>Приказ «Об учётной политике предприятия на год»</w:t>
      </w:r>
    </w:p>
    <w:p w:rsidR="00E13639" w:rsidRPr="005D7F6A" w:rsidRDefault="005D7F6A">
      <w:pPr>
        <w:pStyle w:val="a3"/>
        <w:divId w:val="2013292853"/>
      </w:pPr>
      <w:r>
        <w:t>В бухгалтерском учёте предприятия следует применять следующие положения:</w:t>
      </w:r>
    </w:p>
    <w:p w:rsidR="00E13639" w:rsidRDefault="005D7F6A">
      <w:pPr>
        <w:pStyle w:val="a3"/>
        <w:divId w:val="2013292853"/>
      </w:pPr>
      <w:r>
        <w:t> </w:t>
      </w:r>
    </w:p>
    <w:p w:rsidR="00E13639" w:rsidRDefault="005D7F6A">
      <w:pPr>
        <w:pStyle w:val="a3"/>
        <w:divId w:val="2013292853"/>
      </w:pPr>
      <w:r>
        <w:t>1)   считать объектом основных средств объекты стоимостью свыше 100 ММРОТ на момент приобретения и сроком службы более 1 года;</w:t>
      </w:r>
    </w:p>
    <w:p w:rsidR="00E13639" w:rsidRDefault="005D7F6A">
      <w:pPr>
        <w:pStyle w:val="a3"/>
        <w:divId w:val="2013292853"/>
      </w:pPr>
      <w:r>
        <w:t>2)   износ по основным фондам начислять линейным способом. Срок полезного использования основных фондов определять по нормам, установленного Постановлением Совета Министров от 22 октября 1990 года № 1072;</w:t>
      </w:r>
    </w:p>
    <w:p w:rsidR="00E13639" w:rsidRDefault="005D7F6A">
      <w:pPr>
        <w:pStyle w:val="a3"/>
        <w:divId w:val="2013292853"/>
      </w:pPr>
      <w:r>
        <w:t>3)   амортизация по нематериальным активам начислять по нормам, исходя из первоначальной стоимостью и прока полезного использования, кроме объектов, по которым начисленные суммы списываются  непосредственно в кредит счёта 04 «Нематериальные активы» без использования счёта 05 «Амортизация нематериальных активов»;</w:t>
      </w:r>
    </w:p>
    <w:p w:rsidR="00E13639" w:rsidRDefault="005D7F6A">
      <w:pPr>
        <w:pStyle w:val="a3"/>
        <w:divId w:val="2013292853"/>
      </w:pPr>
      <w:r>
        <w:t>4)   малоценные и быстроизнашивающиеся предметы, стоимостью в пределах 100 ММРОТ учитывать на счёте 12 «Малоценные и быстроизнашивающиеся предметы», по его субсчетам: 12.1 «МБП в запасе», 12.2 «МБП в эксплуатации». При передаче МБП в эксплуатацию начислять износ в размере 100%. МБП стоимостью до одной двадцатой установленного лимита за единицу продукции списывать в расход по мере отпуска их в производство или в эксплуатацию;</w:t>
      </w:r>
    </w:p>
    <w:p w:rsidR="00E13639" w:rsidRDefault="005D7F6A">
      <w:pPr>
        <w:pStyle w:val="a3"/>
        <w:divId w:val="2013292853"/>
      </w:pPr>
      <w:r>
        <w:t>5)   производственные запасы отражаются в учёте по цене их фактического приобретения. Заготовление материалов отражается с применением счёта 15 «Заготовление и приобретение материалов» и счёта 16 «Отклонение в стоимости материалов»;</w:t>
      </w:r>
    </w:p>
    <w:p w:rsidR="00E13639" w:rsidRDefault="005D7F6A">
      <w:pPr>
        <w:pStyle w:val="a3"/>
        <w:divId w:val="2013292853"/>
      </w:pPr>
      <w:r>
        <w:t>6)   производственные материалы предприятия учитываются на счёте 10 «Материалы» по нормативной себестоимости. При списании готовой продукции сумма отклонений фактической производственной себестоимости от её стоимости по учётным ценам определяется по проценту, исчисленному исходя из отклонения на сумму остатка готовой продукции на начало отчётного периода и отклонений по продукции, поступившей на склад в течение отчётного периода, к стоимости этой продукции по учётным ценам и отражается по кредиту счёта 10 «Материалы» и дебету соответствующих счетов дополнительной или сторнирующей записью.</w:t>
      </w:r>
    </w:p>
    <w:p w:rsidR="00E13639" w:rsidRDefault="005D7F6A">
      <w:pPr>
        <w:pStyle w:val="a3"/>
        <w:divId w:val="2013292853"/>
      </w:pPr>
      <w:r>
        <w:t>7)   Неотфактурованные поставки приходуются на склад на основании акта. Материалы по акту расцениваются по учётным ценам и записывают в журнал-ордер №6, как ценности, поступившие на склад.</w:t>
      </w:r>
    </w:p>
    <w:p w:rsidR="00E13639" w:rsidRDefault="005D7F6A">
      <w:pPr>
        <w:pStyle w:val="a3"/>
        <w:divId w:val="2013292853"/>
      </w:pPr>
      <w:r>
        <w:t>8)   Списание стоимости материально-производственных запасов при выбытии производить по себестоимости по времени закупок;</w:t>
      </w:r>
    </w:p>
    <w:p w:rsidR="00E13639" w:rsidRDefault="005D7F6A">
      <w:pPr>
        <w:pStyle w:val="a3"/>
        <w:divId w:val="2013292853"/>
      </w:pPr>
      <w:r>
        <w:t>9)   резервы предстоящих расходов и платежей не создавать;</w:t>
      </w:r>
    </w:p>
    <w:p w:rsidR="00E13639" w:rsidRDefault="005D7F6A">
      <w:pPr>
        <w:pStyle w:val="a3"/>
        <w:divId w:val="2013292853"/>
      </w:pPr>
      <w:r>
        <w:t>10) предприятие может создавать резервы по сомнительным долгам. Для этого необходимо проводить инвентаризацию дебиторской задолженности на последнюю дату каждого отчётного периода, за которым составляется  расчёт по налогу на прибыль. По результатам проведённой инвентаризации руководитель принимает решение о создании по задолженности, не погашенной в срок и не обеспеченной соответствующими гарантиями, резерва сомнительных долгов. Сумма образованного резерва относится на финансовые результаты деятельности предприятия;</w:t>
      </w:r>
    </w:p>
    <w:p w:rsidR="00E13639" w:rsidRDefault="005D7F6A">
      <w:pPr>
        <w:pStyle w:val="a3"/>
        <w:divId w:val="2013292853"/>
      </w:pPr>
      <w:r>
        <w:t>11) учёт затрат на изготовление продукции производисть на счёте 20 «Основное производство». По дебету этого счёта отражаются прямые затраты, связанные с производством продукции. Затраты вспомогательных производств собирать на счёте 23 «Вспомогательное производство». Они должны полностью потребляться цехами основного производства. Сумма, накопленных за месяц косвенных затрат отражается на счетах 25 «Общепроизводственные расходы» и 26 «Общехозяйственные расходы». В конце отчётного периода они должны быть полностью списаны в дебет счёта 20.</w:t>
      </w:r>
    </w:p>
    <w:p w:rsidR="00E13639" w:rsidRDefault="005D7F6A">
      <w:pPr>
        <w:pStyle w:val="a3"/>
        <w:divId w:val="2013292853"/>
      </w:pPr>
      <w:r>
        <w:t>12) Затраты предприятия подлежат включению в себестоимость продукции, услуг того периода, к которому они относятся, независимо от времени их оплаты, в том числе и при выполнении ремонта основных средств;</w:t>
      </w:r>
    </w:p>
    <w:p w:rsidR="00E13639" w:rsidRDefault="005D7F6A">
      <w:pPr>
        <w:pStyle w:val="a3"/>
        <w:divId w:val="2013292853"/>
      </w:pPr>
      <w:r>
        <w:t>13) объём выпущенной продукции в балансе отражается по калькуляционной стоимости и в сравнении с фактической себестоимостью определяется финансовый результат;</w:t>
      </w:r>
    </w:p>
    <w:p w:rsidR="00E13639" w:rsidRDefault="005D7F6A">
      <w:pPr>
        <w:pStyle w:val="a3"/>
        <w:divId w:val="2013292853"/>
      </w:pPr>
      <w:r>
        <w:t>14) в целях налогообложения установить метод определения выручки по мере  отгрузки товаров;</w:t>
      </w:r>
    </w:p>
    <w:p w:rsidR="00E13639" w:rsidRDefault="005D7F6A">
      <w:pPr>
        <w:pStyle w:val="a3"/>
        <w:divId w:val="2013292853"/>
      </w:pPr>
      <w:r>
        <w:t>15) на счёте 83 «Доходы будущих периодов» отражать доходы, полученные  в отчётном периоде, но относящиеся к следующим отчётным периодам. Доходы будущих периодов включаются в результат хозяйственной деятельности при поступлении отчётного периода, к которому они относятся;</w:t>
      </w:r>
    </w:p>
    <w:p w:rsidR="00E13639" w:rsidRDefault="005D7F6A">
      <w:pPr>
        <w:pStyle w:val="a3"/>
        <w:divId w:val="2013292853"/>
      </w:pPr>
      <w:r>
        <w:t>16) получаемая в отчётном году прибыль, оставшаяся в распоряжении предприятия после закрытия счёта 81 «Использование прибыли» списывается на счёт 88 «Нераспределённая прибыль» и направляется на покрытие убытков прошлых лет. Остаток прибыли должен использоваться как источник финансирования деятельности предприятия;</w:t>
      </w:r>
    </w:p>
    <w:p w:rsidR="00E13639" w:rsidRDefault="005D7F6A">
      <w:pPr>
        <w:pStyle w:val="a3"/>
        <w:divId w:val="2013292853"/>
      </w:pPr>
      <w:r>
        <w:t>17) остатки средств по валютным счетам, кредиторская и дебиторская задолженность в инвалюте в отчётности отражается в суммах, определяемых, в перерасчёте по курсу Центробанка Российской Федерации  на последний день отчётного периода;</w:t>
      </w:r>
    </w:p>
    <w:p w:rsidR="00E13639" w:rsidRDefault="005D7F6A">
      <w:pPr>
        <w:pStyle w:val="a3"/>
        <w:divId w:val="2013292853"/>
      </w:pPr>
      <w:r>
        <w:t>18) полученные курсовые разницы учитываются на счёте 83 «Доходы будущих периодов» с последующим списанием на счёт 80 «Прибыли и убытки»;</w:t>
      </w:r>
    </w:p>
    <w:p w:rsidR="00E13639" w:rsidRDefault="005D7F6A">
      <w:pPr>
        <w:pStyle w:val="a3"/>
        <w:divId w:val="2013292853"/>
      </w:pPr>
      <w:r>
        <w:t xml:space="preserve">19) проводить инвентаризацию товарных остатков при смене материально ответственных лиц, денежных средств ежеквартально, материальных запасов, расчётов перед составлением годовой отчётности, а основных средств не реже 1 раз каждые три года. </w:t>
      </w:r>
      <w:bookmarkStart w:id="0" w:name="_GoBack"/>
      <w:bookmarkEnd w:id="0"/>
    </w:p>
    <w:sectPr w:rsidR="00E1363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F6A"/>
    <w:rsid w:val="005D7F6A"/>
    <w:rsid w:val="00E13639"/>
    <w:rsid w:val="00E46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00AFC0-A2AC-4B20-A710-AE0B4038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2928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Words>
  <Characters>4372</Characters>
  <Application>Microsoft Office Word</Application>
  <DocSecurity>0</DocSecurity>
  <Lines>36</Lines>
  <Paragraphs>10</Paragraphs>
  <ScaleCrop>false</ScaleCrop>
  <Company>diakov.net</Company>
  <LinksUpToDate>false</LinksUpToDate>
  <CharactersWithSpaces>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Задача по бухучету</dc:title>
  <dc:subject/>
  <dc:creator>Irina</dc:creator>
  <cp:keywords/>
  <dc:description/>
  <cp:lastModifiedBy>Irina</cp:lastModifiedBy>
  <cp:revision>2</cp:revision>
  <dcterms:created xsi:type="dcterms:W3CDTF">2014-08-03T19:37:00Z</dcterms:created>
  <dcterms:modified xsi:type="dcterms:W3CDTF">2014-08-03T19:37:00Z</dcterms:modified>
</cp:coreProperties>
</file>