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B" w:rsidRDefault="0006643B">
      <w:pPr>
        <w:pStyle w:val="a5"/>
        <w:widowControl/>
        <w:rPr>
          <w:b/>
          <w:bCs/>
        </w:rPr>
      </w:pPr>
      <w:r>
        <w:rPr>
          <w:b/>
          <w:bCs/>
        </w:rPr>
        <w:t>Государственный университет природы, общества и человека "Дубна"</w:t>
      </w: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pStyle w:val="1"/>
        <w:widowControl/>
        <w:rPr>
          <w:sz w:val="24"/>
          <w:szCs w:val="24"/>
        </w:rPr>
      </w:pPr>
      <w:r>
        <w:rPr>
          <w:sz w:val="24"/>
          <w:szCs w:val="24"/>
        </w:rPr>
        <w:t>Кафедра системного анализа и управления</w:t>
      </w: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8"/>
          <w:szCs w:val="28"/>
        </w:rPr>
      </w:pPr>
    </w:p>
    <w:p w:rsidR="0006643B" w:rsidRDefault="000664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 по безопасности жизнедеятельности на тему:</w:t>
      </w:r>
    </w:p>
    <w:p w:rsidR="0006643B" w:rsidRDefault="0006643B">
      <w:pPr>
        <w:jc w:val="center"/>
        <w:rPr>
          <w:sz w:val="28"/>
          <w:szCs w:val="28"/>
        </w:rPr>
      </w:pPr>
    </w:p>
    <w:p w:rsidR="0006643B" w:rsidRDefault="0006643B">
      <w:pPr>
        <w:pStyle w:val="2"/>
        <w:widowControl/>
        <w:jc w:val="center"/>
        <w:rPr>
          <w:sz w:val="24"/>
          <w:szCs w:val="24"/>
        </w:rPr>
      </w:pPr>
      <w:r>
        <w:rPr>
          <w:i w:val="0"/>
          <w:iCs w:val="0"/>
          <w:sz w:val="28"/>
          <w:szCs w:val="28"/>
        </w:rPr>
        <w:t xml:space="preserve">Законодательное регулирование поведения человека в чрезвычайных ситуациях </w:t>
      </w: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rPr>
          <w:sz w:val="24"/>
          <w:szCs w:val="24"/>
        </w:rPr>
      </w:pPr>
    </w:p>
    <w:p w:rsidR="0006643B" w:rsidRDefault="0006643B">
      <w:pPr>
        <w:jc w:val="right"/>
        <w:rPr>
          <w:sz w:val="24"/>
          <w:szCs w:val="24"/>
        </w:rPr>
      </w:pPr>
    </w:p>
    <w:p w:rsidR="0006643B" w:rsidRDefault="0006643B">
      <w:pPr>
        <w:jc w:val="right"/>
        <w:rPr>
          <w:sz w:val="24"/>
          <w:szCs w:val="24"/>
        </w:rPr>
      </w:pPr>
    </w:p>
    <w:p w:rsidR="0006643B" w:rsidRDefault="0006643B">
      <w:pPr>
        <w:jc w:val="right"/>
        <w:rPr>
          <w:sz w:val="24"/>
          <w:szCs w:val="24"/>
        </w:rPr>
      </w:pPr>
    </w:p>
    <w:p w:rsidR="0006643B" w:rsidRDefault="0006643B">
      <w:pPr>
        <w:jc w:val="right"/>
        <w:rPr>
          <w:sz w:val="24"/>
          <w:szCs w:val="24"/>
        </w:rPr>
      </w:pPr>
    </w:p>
    <w:p w:rsidR="0006643B" w:rsidRDefault="0006643B">
      <w:pPr>
        <w:jc w:val="right"/>
        <w:rPr>
          <w:sz w:val="24"/>
          <w:szCs w:val="24"/>
        </w:rPr>
      </w:pPr>
    </w:p>
    <w:p w:rsidR="0006643B" w:rsidRDefault="0006643B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 студент группы 2061</w:t>
      </w:r>
    </w:p>
    <w:p w:rsidR="0006643B" w:rsidRDefault="0006643B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Тарский Ф.Н.</w:t>
      </w:r>
    </w:p>
    <w:p w:rsidR="0006643B" w:rsidRDefault="0006643B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Преподаватель:</w:t>
      </w:r>
      <w:r>
        <w:rPr>
          <w:i/>
          <w:iCs/>
          <w:sz w:val="24"/>
          <w:szCs w:val="24"/>
        </w:rPr>
        <w:t xml:space="preserve"> Хозяинов М.С.</w:t>
      </w: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</w:p>
    <w:p w:rsidR="0006643B" w:rsidRDefault="0006643B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Дубна,</w:t>
      </w:r>
    </w:p>
    <w:p w:rsidR="0006643B" w:rsidRDefault="0006643B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2000 г.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br w:type="page"/>
        <w:t>Чрезвычайная ситуация</w:t>
      </w:r>
      <w:r>
        <w:rPr>
          <w:sz w:val="24"/>
          <w:szCs w:val="24"/>
        </w:rPr>
        <w:t xml:space="preserve"> – это положение, которое сложилось в результате аварии, природного явления или иного бедствия, которые сопровождаются человеческими жертвами, материальными потерями или ущербом для природной среды. Это определение, на мой взгляд, достаточно верно характеризует сущность чрезвычайной ситуации.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развитием цивилизации, с применением всё более новых технологий, прогрессом научных исследований постоянно возрастает угроза техногенных катастроф. На территории страны имеется большое количество складов с запасами горючих, взрывчатых, сильнодействующих ядовитых и радиоактивных веществ. Кроме того, имеется огромное количество химического и бактериологического оружия. Все эти запасы долгое время хранятся без надлежащей ревизии и утилизации, хранилища нередко находятся в аварийном состоянии. Износ оборудования часто превышает допустимые нормативы: так, например, отслужили свой срок 40% трубопроводов для перекачки газа и нефти. Зоной повышенной опасности являются транспортные коммуникации, объекты электроэнергетики. Считается, что в опасных зонах проживает 30% населения, в чрезвычайно опасных – 10%. В частности, город Дубна относится к такого рода опасным зонам: здесь имеются определённые запасы радиоактивных веществ, обеспечивающих работу ядерного реактора Объединённого Института Ядерных Исследований; имеется плотина, которая удерживает огромные запасы воды Московского моря (Иваньковского водохранилища). В условиях низкой технологической дисциплины, хронической нехватки финансовых и материальных ресурсов для поддержания основных фондов в рабочем состоянии, возрастает вероятность массовых аварий, техногенных катастроф и других чрезвычайных ситуаций.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чрезвычайные ситуации можно подразделить на </w:t>
      </w:r>
      <w:r>
        <w:rPr>
          <w:i/>
          <w:iCs/>
          <w:sz w:val="24"/>
          <w:szCs w:val="24"/>
        </w:rPr>
        <w:t>локальные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местные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территориальные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региональные,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федеральные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трансграничные</w:t>
      </w:r>
      <w:r>
        <w:rPr>
          <w:sz w:val="24"/>
          <w:szCs w:val="24"/>
        </w:rPr>
        <w:t>. Критериями подобной классификации чрезвычайных ситуаций являются: численность пострадавшего населения, размер материального ущерба, а так же границы зон распространения поражающих факторов. Однако социальный резонанс зависит очень часто не от числа пострадавших, а от условий, при которых произошла катастрофа. В качестве примера можно привести атомную подводную лодку "Курск", затонувшую в августе 2000 года, в результате аварии на которой погибло 118 человек. В результате многочисленных терактов, совершаемых на территории нашей страны, техногенных аварий и природных катаклизмов гибнет больше людей, однако эти события не получают столь широкого освещения в средствах массовой информации.</w:t>
      </w:r>
    </w:p>
    <w:p w:rsidR="0006643B" w:rsidRDefault="0006643B">
      <w:pPr>
        <w:pStyle w:val="Iniiaiieoaeno"/>
        <w:widowControl/>
        <w:ind w:firstLine="720"/>
      </w:pPr>
      <w:r>
        <w:t>Постановлением правительства РФ от 9 марта 1996 г. №349 утверждены нормативы для классификации чрезвычайных ситуаций природного и техногенного характера.</w:t>
      </w:r>
    </w:p>
    <w:p w:rsidR="0006643B" w:rsidRDefault="0006643B">
      <w:pPr>
        <w:pStyle w:val="Iauiue1"/>
        <w:widowControl/>
        <w:spacing w:after="120" w:line="36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Критерии классификации чрезвычайных ситуаций: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276"/>
        <w:gridCol w:w="1417"/>
        <w:gridCol w:w="1336"/>
        <w:gridCol w:w="1641"/>
      </w:tblGrid>
      <w:tr w:rsidR="0006643B" w:rsidRPr="0006643B">
        <w:trPr>
          <w:cantSplit/>
          <w:trHeight w:val="534"/>
        </w:trPr>
        <w:tc>
          <w:tcPr>
            <w:tcW w:w="2802" w:type="dxa"/>
          </w:tcPr>
          <w:p w:rsidR="0006643B" w:rsidRPr="0006643B" w:rsidRDefault="0006643B">
            <w:pPr>
              <w:pStyle w:val="caaieiaie1"/>
              <w:widowControl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Критерии классификации</w:t>
            </w:r>
          </w:p>
        </w:tc>
        <w:tc>
          <w:tcPr>
            <w:tcW w:w="7087" w:type="dxa"/>
            <w:gridSpan w:val="5"/>
          </w:tcPr>
          <w:p w:rsidR="0006643B" w:rsidRPr="0006643B" w:rsidRDefault="0006643B">
            <w:pPr>
              <w:pStyle w:val="caaieiaie2"/>
              <w:widowControl/>
              <w:rPr>
                <w:spacing w:val="32"/>
              </w:rPr>
            </w:pPr>
            <w:r w:rsidRPr="0006643B">
              <w:rPr>
                <w:spacing w:val="32"/>
              </w:rPr>
              <w:t>Чрезвычайная ситуация</w:t>
            </w:r>
          </w:p>
        </w:tc>
      </w:tr>
      <w:tr w:rsidR="0006643B" w:rsidRPr="0006643B">
        <w:trPr>
          <w:cantSplit/>
          <w:trHeight w:val="657"/>
        </w:trPr>
        <w:tc>
          <w:tcPr>
            <w:tcW w:w="2802" w:type="dxa"/>
          </w:tcPr>
          <w:p w:rsidR="0006643B" w:rsidRPr="0006643B" w:rsidRDefault="0006643B">
            <w:pPr>
              <w:pStyle w:val="Iauiue1"/>
              <w:widowControl/>
              <w:spacing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06643B">
              <w:rPr>
                <w:i/>
                <w:iCs/>
                <w:sz w:val="24"/>
                <w:szCs w:val="24"/>
              </w:rPr>
              <w:t>Локальная</w:t>
            </w:r>
          </w:p>
        </w:tc>
        <w:tc>
          <w:tcPr>
            <w:tcW w:w="127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06643B">
              <w:rPr>
                <w:i/>
                <w:iCs/>
                <w:sz w:val="24"/>
                <w:szCs w:val="24"/>
              </w:rPr>
              <w:t>Местная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06643B">
              <w:rPr>
                <w:i/>
                <w:iCs/>
                <w:sz w:val="24"/>
                <w:szCs w:val="24"/>
              </w:rPr>
              <w:t>Территориальная</w:t>
            </w:r>
          </w:p>
        </w:tc>
        <w:tc>
          <w:tcPr>
            <w:tcW w:w="133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06643B">
              <w:rPr>
                <w:i/>
                <w:iCs/>
                <w:sz w:val="24"/>
                <w:szCs w:val="24"/>
              </w:rPr>
              <w:t>Региональная</w:t>
            </w:r>
          </w:p>
        </w:tc>
        <w:tc>
          <w:tcPr>
            <w:tcW w:w="1641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  <w:r w:rsidRPr="0006643B">
              <w:rPr>
                <w:i/>
                <w:iCs/>
                <w:sz w:val="24"/>
                <w:szCs w:val="24"/>
              </w:rPr>
              <w:t>Федеральная</w:t>
            </w:r>
          </w:p>
        </w:tc>
      </w:tr>
      <w:tr w:rsidR="0006643B" w:rsidRPr="0006643B">
        <w:trPr>
          <w:cantSplit/>
          <w:trHeight w:val="657"/>
        </w:trPr>
        <w:tc>
          <w:tcPr>
            <w:tcW w:w="2802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Численность пострадавшего населения, чел.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 xml:space="preserve">Не более 10 </w:t>
            </w:r>
          </w:p>
        </w:tc>
        <w:tc>
          <w:tcPr>
            <w:tcW w:w="127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10 до 50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50 до 500</w:t>
            </w:r>
          </w:p>
        </w:tc>
        <w:tc>
          <w:tcPr>
            <w:tcW w:w="133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50 до 500</w:t>
            </w:r>
          </w:p>
        </w:tc>
        <w:tc>
          <w:tcPr>
            <w:tcW w:w="1641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Более 500</w:t>
            </w:r>
          </w:p>
        </w:tc>
      </w:tr>
      <w:tr w:rsidR="0006643B" w:rsidRPr="0006643B">
        <w:trPr>
          <w:cantSplit/>
          <w:trHeight w:val="657"/>
        </w:trPr>
        <w:tc>
          <w:tcPr>
            <w:tcW w:w="2802" w:type="dxa"/>
          </w:tcPr>
          <w:p w:rsidR="0006643B" w:rsidRPr="0006643B" w:rsidRDefault="0006643B">
            <w:pPr>
              <w:pStyle w:val="Iauiue1"/>
              <w:widowControl/>
              <w:tabs>
                <w:tab w:val="left" w:pos="284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Нарушены условия жизнедеятельности, чел.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Не более 100</w:t>
            </w:r>
          </w:p>
        </w:tc>
        <w:tc>
          <w:tcPr>
            <w:tcW w:w="127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100 до 300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300 до 500</w:t>
            </w:r>
          </w:p>
        </w:tc>
        <w:tc>
          <w:tcPr>
            <w:tcW w:w="133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500 до 1000</w:t>
            </w:r>
          </w:p>
        </w:tc>
        <w:tc>
          <w:tcPr>
            <w:tcW w:w="1641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Более 1000</w:t>
            </w:r>
          </w:p>
        </w:tc>
      </w:tr>
      <w:tr w:rsidR="0006643B" w:rsidRPr="0006643B">
        <w:trPr>
          <w:cantSplit/>
          <w:trHeight w:val="657"/>
        </w:trPr>
        <w:tc>
          <w:tcPr>
            <w:tcW w:w="2802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Материальный ущерб (количество минимальных оплат труда в месяц), тыс.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1 до 5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5 до 500</w:t>
            </w:r>
          </w:p>
        </w:tc>
        <w:tc>
          <w:tcPr>
            <w:tcW w:w="133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От 500 до 5000</w:t>
            </w:r>
          </w:p>
        </w:tc>
        <w:tc>
          <w:tcPr>
            <w:tcW w:w="1641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Более 5000</w:t>
            </w:r>
          </w:p>
        </w:tc>
      </w:tr>
      <w:tr w:rsidR="0006643B" w:rsidRPr="0006643B">
        <w:trPr>
          <w:cantSplit/>
          <w:trHeight w:val="657"/>
        </w:trPr>
        <w:tc>
          <w:tcPr>
            <w:tcW w:w="2802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Зона чрезвычайной ситуации: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а) не выходит за пределы:</w:t>
            </w:r>
          </w:p>
          <w:p w:rsidR="0006643B" w:rsidRPr="0006643B" w:rsidRDefault="0006643B">
            <w:pPr>
              <w:pStyle w:val="Iauiue1"/>
              <w:widowControl/>
              <w:tabs>
                <w:tab w:val="left" w:pos="284"/>
              </w:tabs>
              <w:spacing w:before="120" w:after="120"/>
              <w:ind w:left="36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</w:t>
            </w:r>
            <w:r w:rsidRPr="0006643B">
              <w:rPr>
                <w:sz w:val="24"/>
                <w:szCs w:val="24"/>
              </w:rPr>
              <w:tab/>
              <w:t xml:space="preserve"> территории объекта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ind w:left="36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</w:t>
            </w:r>
            <w:r w:rsidRPr="0006643B">
              <w:rPr>
                <w:sz w:val="24"/>
                <w:szCs w:val="24"/>
              </w:rPr>
              <w:tab/>
              <w:t>населённого пункта, района</w:t>
            </w:r>
          </w:p>
          <w:p w:rsidR="0006643B" w:rsidRPr="0006643B" w:rsidRDefault="0006643B">
            <w:pPr>
              <w:pStyle w:val="Iauiue1"/>
              <w:widowControl/>
              <w:tabs>
                <w:tab w:val="left" w:pos="284"/>
              </w:tabs>
              <w:spacing w:before="120" w:after="120"/>
              <w:ind w:left="36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</w:t>
            </w:r>
            <w:r w:rsidRPr="0006643B">
              <w:rPr>
                <w:sz w:val="24"/>
                <w:szCs w:val="24"/>
              </w:rPr>
              <w:tab/>
              <w:t>субъекта РФ</w:t>
            </w:r>
          </w:p>
          <w:p w:rsidR="0006643B" w:rsidRPr="0006643B" w:rsidRDefault="0006643B">
            <w:pPr>
              <w:pStyle w:val="Iniiaiieoaeno2"/>
              <w:widowControl/>
            </w:pPr>
            <w:r w:rsidRPr="0006643B">
              <w:t>б) охватывает территорию:</w:t>
            </w:r>
          </w:p>
          <w:p w:rsidR="0006643B" w:rsidRPr="0006643B" w:rsidRDefault="0006643B">
            <w:pPr>
              <w:pStyle w:val="Iauiue1"/>
              <w:widowControl/>
              <w:tabs>
                <w:tab w:val="left" w:pos="284"/>
              </w:tabs>
              <w:spacing w:before="120" w:after="120"/>
              <w:ind w:left="36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</w:t>
            </w:r>
            <w:r w:rsidRPr="0006643B">
              <w:rPr>
                <w:sz w:val="24"/>
                <w:szCs w:val="24"/>
              </w:rPr>
              <w:tab/>
              <w:t>двух субъектов РФ</w:t>
            </w:r>
          </w:p>
          <w:p w:rsidR="0006643B" w:rsidRPr="0006643B" w:rsidRDefault="0006643B">
            <w:pPr>
              <w:pStyle w:val="Iauiue1"/>
              <w:widowControl/>
              <w:tabs>
                <w:tab w:val="left" w:pos="284"/>
              </w:tabs>
              <w:spacing w:before="120" w:after="120"/>
              <w:ind w:left="360"/>
              <w:jc w:val="both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</w:t>
            </w:r>
            <w:r w:rsidRPr="0006643B">
              <w:rPr>
                <w:sz w:val="24"/>
                <w:szCs w:val="24"/>
              </w:rPr>
              <w:tab/>
              <w:t>более двух субъектов РФ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+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+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+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</w:tc>
        <w:tc>
          <w:tcPr>
            <w:tcW w:w="1336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+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</w:tc>
        <w:tc>
          <w:tcPr>
            <w:tcW w:w="1641" w:type="dxa"/>
          </w:tcPr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–</w:t>
            </w: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</w:p>
          <w:p w:rsidR="0006643B" w:rsidRPr="0006643B" w:rsidRDefault="0006643B">
            <w:pPr>
              <w:pStyle w:val="Iauiue1"/>
              <w:widowControl/>
              <w:spacing w:before="120" w:after="120"/>
              <w:jc w:val="center"/>
              <w:rPr>
                <w:sz w:val="24"/>
                <w:szCs w:val="24"/>
              </w:rPr>
            </w:pPr>
            <w:r w:rsidRPr="0006643B">
              <w:rPr>
                <w:sz w:val="24"/>
                <w:szCs w:val="24"/>
              </w:rPr>
              <w:t>+</w:t>
            </w:r>
          </w:p>
        </w:tc>
      </w:tr>
    </w:tbl>
    <w:p w:rsidR="0006643B" w:rsidRDefault="0006643B">
      <w:pPr>
        <w:pStyle w:val="Iauiue1"/>
        <w:widowControl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трансграничным относятся такие чрезвычайные ситуации, поражающие факторов которых выходят за пределы страны, или которые возникают за рубежом и затрагивают территорию страны.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различать чрезвычайные экологические ситуации и экологические бедствия. Территория объявляется </w:t>
      </w:r>
      <w:r>
        <w:rPr>
          <w:i/>
          <w:iCs/>
          <w:sz w:val="24"/>
          <w:szCs w:val="24"/>
        </w:rPr>
        <w:t>зоной чрезвычайной экологической ситуации</w:t>
      </w:r>
      <w:r>
        <w:rPr>
          <w:sz w:val="24"/>
          <w:szCs w:val="24"/>
        </w:rPr>
        <w:t>, указом президента РФ на основании заключения государственной экологической экспертизы, если в ней в результате хозяйственной и иной деятельности происходят устойчивые отрицательные изменения в окружающей природной среде, угрожающие здоровью населения, состоянию генетического фонда растений и животных.</w:t>
      </w:r>
      <w:r>
        <w:rPr>
          <w:rStyle w:val="ciaeniinee"/>
          <w:sz w:val="24"/>
          <w:szCs w:val="24"/>
        </w:rPr>
        <w:footnoteReference w:id="1"/>
      </w:r>
      <w:r>
        <w:rPr>
          <w:sz w:val="24"/>
          <w:szCs w:val="24"/>
        </w:rPr>
        <w:t xml:space="preserve"> Участки территории, где произошли глубокие необратимые изменения окружающей природной среды, повлекшие за собой существенное ухудшение здоровья населения, нарушение природного равновесия, называются зонами </w:t>
      </w:r>
      <w:r>
        <w:rPr>
          <w:i/>
          <w:iCs/>
          <w:sz w:val="24"/>
          <w:szCs w:val="24"/>
        </w:rPr>
        <w:t>экологического бедствия</w:t>
      </w:r>
      <w:r>
        <w:rPr>
          <w:sz w:val="24"/>
          <w:szCs w:val="24"/>
        </w:rPr>
        <w:t>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Особое значение имеет профилактика, попытка предотвратить наступление чрезвычайных ситуаций. Для этого проводятся особые мероприятия и устанавливаются нормы и правила поведения. Так, в области обращения с ядерными материалами предусматривается комплексное решение проблем, связанных с их получением, использованием, физической защитой, регистрацией и учётом. На всей территории нашей страны осуществляется государственный контроль за радиационной обстановкой. Все ядерные материалы подлежат государственному учёту и контролю на различных уровнях государственной власти. Государство регулирует так же безопасность при использовании атомной энергии при помощи специально уполномоченных на то федеральных органов исполнительной власти. Они вводят в действие нормы и правила в области использования атомной энергии, осуществляют надзор за их исполнение, проводят экспертизу ядерных установок, применяют меры административного воздействия и выполняют другие функции, связанные с обеспечением безопасности при использовании атомной энергии. На федеральном уровне государственный учёт и контроль ядерных материалов осуществляют Министерство по атомной энергии (Минатом России) и Министерство обороны РФ. На ведомственном уровне эти функции выполняют федеральные органы исполнительной власти, в непосредственном распоряжении которых находятся ядерные материалы. На уровне эксплуатирующей организации, деятельность которой связана с производством, хранением или использованием ядерных материалов, из учёт и контроль осуществляет её администрация. Надзор же за самой системой учёта и контроля ядерных материалов для использования в мирных целях осуществляет Федеральный надзор России по ядерной и радиационной безопасности. Государственный таможенный комитет РФ контролирует перемещение ядерных материалов через таможенную границу. Особо подчёркивается, что вмешательство в деятельность эксплуатирующей организации в части использования ядерной установки не допускается.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потере управления некоторыми частями ядерной установки может наступить серьёзная радиационная авария, что н просто нежелательно, а просто недопустимо. В организациях, где теоретически возможны подобные аварии, обязательно должен быть план мероприятий по защите работников и населения, а так же средства для ликвидации аварий. В качестве профилактики проводятся мероприятия по обеспечению правил, норм в области радиационной безопасности, информирование населения о радиационной обстановке, его обучение в области радиационной безопасности.</w:t>
      </w:r>
    </w:p>
    <w:p w:rsidR="0006643B" w:rsidRDefault="0006643B">
      <w:pPr>
        <w:pStyle w:val="Iauiue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экологической безопасности возникают в связи с изменениями климата, а так же производственной деятельности человека. Изменение климате ведёт к крупномасштабным негативным последствиям во всех областях деятельности. В нашей стране весьма уязвимыми к изменению климата являются сельское, лесное и водное хозяйства. В 1992 году была проведена специальная конференция ООН, посвящённая окружающей среде и развитию. В её результате была подписана конвенция об изменении климата, подписанная многими странами, в том числе и Россией. Цель её заключается в том, чтобы добиться стабилизации концентрации парниковых газов в атмосфере на таком уровне, который не допускал бы опасного антропогенного воздействия на климатическую систему. Деятельность человечества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столетия приводит к стремительному повышению концентрации загрязняющих веществ в атмосфере, что вызывает угрозу разрушения её озонового слоя и резкого изменения климата, в частности, глобального потепления. Для снижения угрозы глобального экологического кризиса необходимо повсеместно значительно сократить выброс в атмосферу вредных газов. Ответственность за снижение таких выбросов должна быть разделена между всеми членами мирового сообщества, существенно различающимися по многим параметрам: уровню промышленного развития, доходу, социальной структуре и политической ориентации. В силу этих различий неизбежно возникает вопрос, в какой степени национальное правительство должно контролировать выбросы в атмосферу. Дискуссионность данной проблемы усиливается ещё и тем фактом, что до настоящего времени не достигнуто согласия по вопросу о воздействии на окружающую среду возрастающего парникового эффекта. Однако растёт понимание того, что с учётом угрозы </w:t>
      </w:r>
      <w:r>
        <w:rPr>
          <w:i/>
          <w:iCs/>
          <w:sz w:val="24"/>
          <w:szCs w:val="24"/>
        </w:rPr>
        <w:t>глобального потепления</w:t>
      </w:r>
      <w:r>
        <w:rPr>
          <w:sz w:val="24"/>
          <w:szCs w:val="24"/>
        </w:rPr>
        <w:t xml:space="preserve"> со всеми вытекающими из этого разрушительными последствиями ограничение вредных выбросов в атмосферу становится задачей первостепенной важности.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Реализуемая федеральная целевая программа "Предотвращение опасных изменений климата и их отрицательных последствий" должна обеспечить выполнение обязательств России по конвенции ООН, чтобы предотвратить отрицательные последствия в результате изменения климата. Всестороннее обеспечение этой программы обеспечивает Федеральная служба России по гидрометеорологии мониторингу окружающей среды. Создание предусмотренных программой систем контроля, мониторинга, анализа и прогнозирования позволит обеспечить органы государственной власти и отрасли экономики достоверной информацией для принятия хозяйственных решений, уменьшающих или исключающих отрицательные последствия изменения климата.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 ситуации ликвидируются соответственно их уровню и значению: локальная – силами и средствами предприятия или организации, на территории которых они произошли; местная – при помощи органов местного самоуправления; территориальная – органов исполнительной власти субъекта РФ. Ликвидация трансграничной чрезвычайной ситуации осуществляется по решению Правительства РФ в соответствии с нормами международного права и международными договорами.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Ликвидация чрезвычайной ситуации считается завершенной по окончании проведения аварийно-спасательных работ. Однако ещё до наступления самой чрезвычайной ситуации к её появлению необходимо подготовиться: заблаговременно должны создаваться резервы материальных ресурсов для ликвидации чрезвычайной ситуации и поддержания жизнеобеспечения людей. Сюда входят: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продовольствие;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пищевое сырьё;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имущество;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медикаменты;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транспортные средства;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средства связи;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строительные материалы;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топливо;</w:t>
      </w:r>
    </w:p>
    <w:p w:rsidR="0006643B" w:rsidRDefault="0006643B">
      <w:pPr>
        <w:pStyle w:val="Iauiue1"/>
        <w:widowControl/>
        <w:numPr>
          <w:ilvl w:val="0"/>
          <w:numId w:val="1"/>
        </w:numPr>
        <w:tabs>
          <w:tab w:val="left" w:pos="360"/>
        </w:tabs>
        <w:spacing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средства индивидуальной защиты и другие материальные ресурсы.</w:t>
      </w:r>
      <w:r>
        <w:rPr>
          <w:rStyle w:val="ciaeniinee"/>
          <w:sz w:val="24"/>
          <w:szCs w:val="24"/>
        </w:rPr>
        <w:footnoteReference w:id="2"/>
      </w:r>
    </w:p>
    <w:p w:rsidR="0006643B" w:rsidRDefault="0006643B">
      <w:pPr>
        <w:pStyle w:val="Iauiue1"/>
        <w:widowControl/>
        <w:numPr>
          <w:ilvl w:val="12"/>
          <w:numId w:val="0"/>
        </w:numPr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Резервы всех необходимых вещей создаются исходя из прогнозируемых видов и масштабов чрезвычайных ситуаций, предполагаемого объёма по работ по их ликвидации, максимально возможного использования сил и средств по следующим уровням управления:</w:t>
      </w:r>
    </w:p>
    <w:p w:rsidR="0006643B" w:rsidRDefault="0006643B">
      <w:pPr>
        <w:pStyle w:val="Iauiue1"/>
        <w:widowControl/>
        <w:numPr>
          <w:ilvl w:val="0"/>
          <w:numId w:val="2"/>
        </w:numPr>
        <w:tabs>
          <w:tab w:val="left" w:pos="360"/>
        </w:tabs>
        <w:spacing w:after="120" w:line="360" w:lineRule="auto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резерв в составе государственного материального резерва – решением Правительства РФ;</w:t>
      </w:r>
    </w:p>
    <w:p w:rsidR="0006643B" w:rsidRDefault="0006643B">
      <w:pPr>
        <w:pStyle w:val="Iauiue1"/>
        <w:widowControl/>
        <w:numPr>
          <w:ilvl w:val="0"/>
          <w:numId w:val="2"/>
        </w:numPr>
        <w:tabs>
          <w:tab w:val="left" w:pos="360"/>
        </w:tabs>
        <w:spacing w:after="120" w:line="360" w:lineRule="auto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Резервы федеральных органов исполнительной власти;</w:t>
      </w:r>
    </w:p>
    <w:p w:rsidR="0006643B" w:rsidRDefault="0006643B">
      <w:pPr>
        <w:pStyle w:val="Iauiue1"/>
        <w:widowControl/>
        <w:numPr>
          <w:ilvl w:val="0"/>
          <w:numId w:val="2"/>
        </w:numPr>
        <w:tabs>
          <w:tab w:val="left" w:pos="360"/>
        </w:tabs>
        <w:spacing w:after="120" w:line="360" w:lineRule="auto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Резервы субъектов РФ – решением органов исполнительной власти субъектов РФ;</w:t>
      </w:r>
    </w:p>
    <w:p w:rsidR="0006643B" w:rsidRDefault="0006643B">
      <w:pPr>
        <w:pStyle w:val="Iauiue1"/>
        <w:widowControl/>
        <w:numPr>
          <w:ilvl w:val="0"/>
          <w:numId w:val="2"/>
        </w:numPr>
        <w:tabs>
          <w:tab w:val="left" w:pos="360"/>
        </w:tabs>
        <w:spacing w:after="120" w:line="360" w:lineRule="auto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Местные резервы – решением органов местного самоуправления;</w:t>
      </w:r>
    </w:p>
    <w:p w:rsidR="0006643B" w:rsidRDefault="0006643B">
      <w:pPr>
        <w:pStyle w:val="Iauiue1"/>
        <w:widowControl/>
        <w:numPr>
          <w:ilvl w:val="0"/>
          <w:numId w:val="2"/>
        </w:numPr>
        <w:tabs>
          <w:tab w:val="left" w:pos="360"/>
        </w:tabs>
        <w:spacing w:after="120" w:line="360" w:lineRule="auto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Объектовые резервы – решением администраций предприятий, учреждений.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Номенклатура и объёмы резервов, а так же контроль за созданием, хранением, использованием и их восполнением устанавливаются создавшим их органом. Размещаются резервы на объектах, предназначенных для их хранения, откуда возможна их оперативная доставка в зоны чрезвычайных ситуаций резервы используются при проведении аварийно-спасательных и иных неотложных работ по устранению непосредственной опасности для жизни и здоровья людей, для развёртывания и содержания временных пунктов проживания и питания пострадавших граждан, оказание им единовременной материальной помощи и иных первоочередных мероприятий, связанных с обеспечением жизнедеятельности пострадавшего населения. Финансирование издержек по созданию, использованию и восполнению ресурсов осуществляется за счёт федерального бюджета, бюджетов субъектов РФ, местных бюджетов, средств федеральных органов исполнительной власти, собственных средств предприятий, учреждений.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ликвидации чрезвычайных ситуаций и их последствий производятся экстренные поставки материальных ресурсов. Для этого используются средства банков под гарантию Правительства РФ при расчётах за формирование, закупку, доставку, хранение и страхование материальных ценностей, предназначенных для ликвидации чрезвычайных ситуаций. От имени Правительства гарантии по возврату средств банков предоставляет Минфин России в пределах ассигнования на эти цели, предусмотренных в федеральном бюджете. Министерство РФ по делам гражданской обороны, чрезвычайным ситуациям и ликвидации последствий стихийных бедствий (МЧС России) совместно с Государственным комитетом РФ по государственным резервам (госкомрезерв России) ежегодно определяет перечень предприятий – поставщиков в государственные резервы материальных и продовольственных ресурсов для ликвидации чрезвычайных ситуаций. При этом таможенное оформление товаров при их ввозе  вывозе осуществляется в приоритетном порядке.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Гражданам, лишившимся жиля в результате чрезвычайных ситуаций и стихийных бедствий, выдаются государственные жилищные сертификаты. Сертификат является именной необращающейся ценной бумагой и отчуждению в какой-либо форме не подлежит. Выпуск сертификатов осуществляется в течение двух месяцев с момента чрезвычайной ситуации на основании решения Правительства РФ, данных МЧС России и органа исполнительной власти субъекта РФ, на территории которого сложилась чрезвычайная ситуация. Органы исполнительной власти субъектов РФ должны обеспечить предоставление жилья гражданам, лишившимся его в результате чрезвычайных ситуаций, в трехмесячный срок со дня получения ими жилищного сертификата. Срок предъявления сертификата для получения жилья устанавливается в течение года с даты его выдачи.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Погашение государственных жилищных сертификатов осуществляется за счёт средств, предусматриваемых на эти цели  в государственном бюджете и в составе резервного фонда Правительства РФ по предупреждению и ликвидации чрезвычайных ситуаций и последствий стихийных бедствий. Минфин России компенсирует органу исполнительной власти субъекта РФ стоимость общей стоимости жилья, предоставляемой владельцу сертификата. Сумма компенсации определяется исходя из размера предоставляемой площади и сложившейся в районе на момент выпуска сертификатов средней стоимости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общей площади вынужденным переселенцам выдаётся долговременная беспроцентная возвратная ссуда на строительство ли приобретение жилья. В качестве примера можно сказать, что в целях оказания помощи сельскохозяйственным производителям в ликвидации последствий чрезвычайных ситуаций в 1996 г. выделено за счёт общих выплат для сельского хозяйства из федерального бюджета 1477,3 млрд. рублей.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зоне экологической чрезвычайной ситуации на время преодоления её последствий приостанавливается работа предприятий, учреждений, цехов, оборудования, оказывающих неблагоприятное влияние, ограничиваются отдельные виды природопользования, проводятся оперативные мероприятия по воспроизводству природных ресурсов. В зоне экологического бедствия прекращается деятельность сельскохозяйственных объектов, кроме связанных с обслуживанием местного населения, запрещается строительство новых объёктов, существенно ограничиваются все виды природопользования. Финансирование мероприятий по ликвидации чрезвычайных ситуаций природного техногенного характера производится за счёт средств предприятий, учреждений и организаций независимо от их организационно-правовой формы, находящихся в зонах чрезвычайных ситуаций, средств федеральных органов исполнительной власти, соответствующих бюджетов, страховых фондов и других источников. При отсутствии или недостаточности средств, федеральные органы исполнительной власти и органы исполнительной власти субъектов федерации могут обратиться с просьбой в Правительство РФ с просьбой о выделении средств из резервного фонда правительства РФ по предупреждению и ликвидации чрезвычайных ситуаций и последствий стихийных бедствий. Основанием для выделения средств из резервного фонда является решение Правительства РФ, в котором указывается размер необходимой суммы и цели её расходования.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Средства из резервного фонда выделяются органам исполнительной власти РФ и субъектов РФ для финансирования аварийно-спасательных и аварийно-восстановительных работ, закупки материальных ресурсов для жизнеобеспечения пострадавшего населения, оказание единовременной материальной помощи, погашение государственных жилищных сертификатов и некоторые другие нужды. В целях повышения оперативности проведения неотложных мероприятий по ликвидации чрезвычайных ситуации на бюджетный счёт МЧС России начисляется оперативный резерв финансовых средств в размере не менее 0,1% установленного в федеральном бюджете объёма резервного фонда Правительства РФ по предупреждению и ликвидации чрезвычайных ситуаций и последствий стихийных бедствий. Средства оперативного резерва расходуются по целевому назначению. Финансирование последующих мероприятий по восстановлению объектов экономики и территорий, пострадавших в результате чрезвычайных ситуаций, осуществляется за счёт собственных средств организаций, соответствующих бюджетов и других источников, а в необходимых случаях – за счёт государственных инвестиций, предусматриваемых в федеральном бюджете. Органами управления чрезвычайными ситуациями являются МЧС России с региональными центрами по делам гражданской обороны, чрезвычайным ситуациям, Межведомственная комиссия по предупреждению и ликвидации чрезвычайных ситуаций комиссии по чрезвычайным ситуациям органов исполнительной власти субъектов РФ и органов местного самоуправления, объектовые комиссии по чрезвычайным ситуациям (создаются в случае необходимости при наличии соответствующей материально-технической базы). Положение о министерстве Российской федерации по делам гражданской обороны, чрезвычайным ситуациям и ликвидации последствий стихийных бедствий утверждено Постановлением Правительства РФ от 6 мая 1994 г. № 457.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Создана всероссийская служба медицины катастроф. Главной её задачей является организация и своевременное оказание пострадавшему населению необходимой медицинской помощи, обеспечение санитарно-эпидемиологического благополучия населения в чрезвычайных ситуациях. В Службу функционально входят соответствующие службы федеральных органов исполнительной власти. Формируются региональные и территориальные центры медицины катастроф.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составе Федеральной авиационной службы России образована Служба поискового и аварийно-спасательного обеспечения полётов гражданской авиации. Она осуществляет специальные исполнительные, контрольные, разрешительные и надзорные функции по организации и проведению поискового, аварийно-спасательного и противопожарного обеспечения полётов.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Органами повседневного управления являются пункты управления (центры управления в кризисных ситуациях), оперативно-дежурные службы органов управления по делам гражданской обороны и чрезвычайным ситуациям всех уровней, дежурные диспетчерские службы и специализированные подразделения федеральных органов исполнительной власти и организаций.6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"О защите населения и территорий от чрезвычайных ситуаций  природного и техногенного характера" создается единая государственная система предупреждения и ликвидации чрезвычайных ситуаций ( РСЧС). Она состоит из функциональных и территориальных подсистем и имеет пять уровней: федеральный, региональный , территориальный, местный и объектовый. Функциональные подсистемы создаются федеральными органами исполнительной власти  для организации работы по защите населения и территорий от чрезвычайных ситуаций в сфере их деятельности и отраслей экономики. Территориальные подсистемы создаются в субъектах РФ для предупреждения и ликвидации чрезвычайных ситуаций в пределах их территорий. Каждый уровень РСЧС имеет координирующие и постоянно действующие органы управления, силы и средства, резервы материальных и финансовых ресурсов, системы связи. 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обстановки, масштаба прогнозируемой или возникшей чрезвычайной ситуации решением соответствующих органов исполнительной власти субъектов РФ и органов местного самоуправления в пределах конкретной территории устанавливаются различные режимы функционирования РСЧС: повседневной деятельности, повышенной готовности, чрезвычайной ситуации.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РСЧС осуществляется на каждом уровне за счёт соответствующего бюджета и средств предприятий. Организационно-методической руководство планированием действий РСЧС осуществляет МЧС России. Утверждён порядок сбора информации о защите населения от чрезвычайных ситуаций природного и техногенного характера. Информация содержит сведения о прогнозируемых и возникших чрезвычайных ситуациях и их последствиях. Она используется для принятия мер по предупреждению и ликвидации чрезвычайных ситуаций и своевременного оповещения населения. МЧС России с участием заинтересованных федеральных органов исполнительной власти разрабатывает Программу страхования и перестрахования рисков от крупных промышленных аварий, катастроф и стихийных бедствий.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Нельзя не отметить, что несмотря на всю теоретическую проработанность и отлаженность системы предотвращения чрезвычайных ситуаций в нашей стране, происходят они постоянно. В связи с этим автор реферата считает необходимым улучшить базовую подготовку людей в области безопасности жизнедеятельности. Достигнуть этого можно прежде всего при помощи усиления воспитания ответственного сознания граждан, при котором каждый человек будет чётко знать, как действовать в той или иной чрезвычайной ситуации.</w:t>
      </w:r>
    </w:p>
    <w:p w:rsidR="0006643B" w:rsidRDefault="0006643B">
      <w:pPr>
        <w:pStyle w:val="Iauiue1"/>
        <w:widowControl/>
        <w:spacing w:after="120" w:line="360" w:lineRule="auto"/>
        <w:ind w:firstLine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Список литературы:</w:t>
      </w:r>
    </w:p>
    <w:p w:rsidR="0006643B" w:rsidRDefault="0006643B">
      <w:pPr>
        <w:pStyle w:val="Iauiue1"/>
        <w:widowControl/>
        <w:numPr>
          <w:ilvl w:val="0"/>
          <w:numId w:val="3"/>
        </w:numPr>
        <w:tabs>
          <w:tab w:val="left" w:pos="360"/>
        </w:tabs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Дружинин В.Ф., Мотивация деятельности в чрезвычайных ситуациях, М., 1996.</w:t>
      </w:r>
    </w:p>
    <w:p w:rsidR="0006643B" w:rsidRDefault="0006643B">
      <w:pPr>
        <w:pStyle w:val="Iauiue1"/>
        <w:widowControl/>
        <w:numPr>
          <w:ilvl w:val="0"/>
          <w:numId w:val="3"/>
        </w:numPr>
        <w:tabs>
          <w:tab w:val="left" w:pos="360"/>
        </w:tabs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Ерофеев Б.В., Эколгическое и земельное право, М., 2000</w:t>
      </w:r>
    </w:p>
    <w:p w:rsidR="0006643B" w:rsidRDefault="0006643B">
      <w:pPr>
        <w:pStyle w:val="Iauiue1"/>
        <w:widowControl/>
        <w:numPr>
          <w:ilvl w:val="0"/>
          <w:numId w:val="3"/>
        </w:numPr>
        <w:tabs>
          <w:tab w:val="left" w:pos="360"/>
        </w:tabs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Кривошеин Д.А., Экология и безопасность жизнедеятельности,</w:t>
      </w:r>
      <w:r>
        <w:rPr>
          <w:sz w:val="24"/>
          <w:szCs w:val="24"/>
          <w:lang w:val="en-US"/>
        </w:rPr>
        <w:t xml:space="preserve"> М., 2000.</w:t>
      </w:r>
    </w:p>
    <w:p w:rsidR="0006643B" w:rsidRDefault="0006643B">
      <w:pPr>
        <w:pStyle w:val="Iauiue1"/>
        <w:widowControl/>
        <w:numPr>
          <w:ilvl w:val="0"/>
          <w:numId w:val="3"/>
        </w:numPr>
        <w:tabs>
          <w:tab w:val="left" w:pos="360"/>
        </w:tabs>
        <w:spacing w:after="12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Пикулькин А.В., Система государственного управления, М., 1997.</w:t>
      </w:r>
      <w:bookmarkStart w:id="0" w:name="_GoBack"/>
      <w:bookmarkEnd w:id="0"/>
    </w:p>
    <w:sectPr w:rsidR="0006643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3B" w:rsidRDefault="0006643B">
      <w:r>
        <w:separator/>
      </w:r>
    </w:p>
  </w:endnote>
  <w:endnote w:type="continuationSeparator" w:id="0">
    <w:p w:rsidR="0006643B" w:rsidRDefault="0006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3B" w:rsidRDefault="00E55411">
    <w:pPr>
      <w:pStyle w:val="Ieieeeieiioeooe"/>
      <w:framePr w:wrap="auto" w:vAnchor="text" w:hAnchor="margin" w:xAlign="center" w:y="1"/>
      <w:rPr>
        <w:rStyle w:val="iiianoaieou"/>
      </w:rPr>
    </w:pPr>
    <w:r>
      <w:rPr>
        <w:rStyle w:val="iiianoaieou"/>
        <w:noProof/>
      </w:rPr>
      <w:t>1</w:t>
    </w:r>
  </w:p>
  <w:p w:rsidR="0006643B" w:rsidRDefault="0006643B">
    <w:pPr>
      <w:pStyle w:val="Ieieeeieiioeoo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3B" w:rsidRDefault="0006643B">
      <w:r>
        <w:separator/>
      </w:r>
    </w:p>
  </w:footnote>
  <w:footnote w:type="continuationSeparator" w:id="0">
    <w:p w:rsidR="0006643B" w:rsidRDefault="0006643B">
      <w:r>
        <w:continuationSeparator/>
      </w:r>
    </w:p>
  </w:footnote>
  <w:footnote w:id="1">
    <w:p w:rsidR="0006643B" w:rsidRDefault="0006643B">
      <w:pPr>
        <w:pStyle w:val="oaenoniinee"/>
        <w:widowControl/>
      </w:pPr>
      <w:r>
        <w:rPr>
          <w:rStyle w:val="ciaeniinee"/>
          <w:rFonts w:ascii="Times New Roman CYR" w:hAnsi="Times New Roman CYR" w:cs="Times New Roman CYR"/>
        </w:rPr>
        <w:footnoteRef/>
      </w:r>
      <w:r>
        <w:rPr>
          <w:rFonts w:ascii="Times New Roman CYR" w:hAnsi="Times New Roman CYR" w:cs="Times New Roman CYR"/>
        </w:rPr>
        <w:t xml:space="preserve"> Пикулькин А.В., Система государственного управления, М., 1997</w:t>
      </w:r>
    </w:p>
  </w:footnote>
  <w:footnote w:id="2">
    <w:p w:rsidR="0006643B" w:rsidRDefault="0006643B">
      <w:pPr>
        <w:pStyle w:val="oaenoniinee"/>
        <w:widowControl/>
        <w:numPr>
          <w:ilvl w:val="12"/>
          <w:numId w:val="0"/>
        </w:numPr>
        <w:rPr>
          <w:rFonts w:ascii="Times New Roman CYR" w:hAnsi="Times New Roman CYR" w:cs="Times New Roman CYR"/>
        </w:rPr>
      </w:pPr>
      <w:r>
        <w:rPr>
          <w:rStyle w:val="ciaeniinee"/>
        </w:rPr>
        <w:footnoteRef/>
      </w:r>
      <w:r>
        <w:t xml:space="preserve"> </w:t>
      </w:r>
      <w:r>
        <w:rPr>
          <w:rFonts w:ascii="Times New Roman CYR" w:hAnsi="Times New Roman CYR" w:cs="Times New Roman CYR"/>
        </w:rPr>
        <w:t>Пикулькин А.В., Система государственного управления, М., 1997</w:t>
      </w:r>
    </w:p>
    <w:p w:rsidR="0006643B" w:rsidRDefault="0006643B">
      <w:pPr>
        <w:pStyle w:val="oaenoniinee"/>
        <w:widowControl/>
        <w:numPr>
          <w:ilvl w:val="12"/>
          <w:numId w:val="0"/>
        </w:num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D6272FE"/>
    <w:multiLevelType w:val="singleLevel"/>
    <w:tmpl w:val="F7FAC466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0"/>
    <w:lvlOverride w:ilvl="0">
      <w:lvl w:ilvl="0">
        <w:start w:val="1"/>
        <w:numFmt w:val="bullet"/>
        <w:lvlText w:val=""/>
        <w:legacy w:legacy="1" w:legacySpace="0" w:legacyIndent="360"/>
        <w:lvlJc w:val="left"/>
        <w:pPr>
          <w:ind w:left="1440" w:hanging="360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144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411"/>
    <w:rsid w:val="0006643B"/>
    <w:rsid w:val="00410948"/>
    <w:rsid w:val="00BB5A76"/>
    <w:rsid w:val="00E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9CF485-4B60-4432-AAA4-5EDB49F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b/>
      <w:bCs/>
      <w:i/>
      <w:i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b/>
      <w:bCs/>
      <w:i/>
      <w:iCs/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3">
    <w:name w:val="Îáû÷íûé"/>
    <w:uiPriority w:val="99"/>
    <w:rPr>
      <w:rFonts w:ascii="Times New Roman" w:hAnsi="Times New Roman"/>
      <w:lang w:val="en-US" w:eastAsia="ru-RU"/>
    </w:rPr>
  </w:style>
  <w:style w:type="character" w:customStyle="1" w:styleId="a4">
    <w:name w:val="Îñíîâíîé øðèôò"/>
    <w:uiPriority w:val="99"/>
  </w:style>
  <w:style w:type="paragraph" w:customStyle="1" w:styleId="Iauiue">
    <w:name w:val="Iau?iue"/>
    <w:uiPriority w:val="99"/>
    <w:rPr>
      <w:rFonts w:ascii="Times New Roman" w:hAnsi="Times New Roman"/>
      <w:lang w:val="en-US" w:eastAsia="ru-RU"/>
    </w:rPr>
  </w:style>
  <w:style w:type="character" w:customStyle="1" w:styleId="Iniiaiieoeoo">
    <w:name w:val="Iniiaiie o?eoo"/>
    <w:uiPriority w:val="99"/>
  </w:style>
  <w:style w:type="paragraph" w:customStyle="1" w:styleId="Iauiue2">
    <w:name w:val="Iau?iue2"/>
    <w:uiPriority w:val="99"/>
    <w:rPr>
      <w:rFonts w:ascii="Times New Roman" w:hAnsi="Times New Roman"/>
      <w:lang w:val="en-US" w:eastAsia="ru-RU"/>
    </w:rPr>
  </w:style>
  <w:style w:type="character" w:customStyle="1" w:styleId="Iniiaiieoeoo3">
    <w:name w:val="Iniiaiie o?eoo3"/>
    <w:uiPriority w:val="99"/>
  </w:style>
  <w:style w:type="paragraph" w:customStyle="1" w:styleId="Iauiue1">
    <w:name w:val="Iau?iue1"/>
    <w:uiPriority w:val="99"/>
    <w:pPr>
      <w:widowControl w:val="0"/>
    </w:pPr>
    <w:rPr>
      <w:rFonts w:ascii="Times New Roman" w:hAnsi="Times New Roman"/>
      <w:lang w:val="ru-RU" w:eastAsia="ru-RU"/>
    </w:rPr>
  </w:style>
  <w:style w:type="paragraph" w:customStyle="1" w:styleId="caaieiaie1">
    <w:name w:val="caaieiaie 1"/>
    <w:basedOn w:val="Iauiue1"/>
    <w:next w:val="Iauiue1"/>
    <w:uiPriority w:val="99"/>
    <w:pPr>
      <w:keepNext/>
      <w:spacing w:after="120" w:line="360" w:lineRule="auto"/>
      <w:jc w:val="both"/>
    </w:pPr>
    <w:rPr>
      <w:b/>
      <w:bCs/>
      <w:i/>
      <w:iCs/>
    </w:rPr>
  </w:style>
  <w:style w:type="paragraph" w:customStyle="1" w:styleId="caaieiaie2">
    <w:name w:val="caaieiaie 2"/>
    <w:basedOn w:val="Iauiue1"/>
    <w:next w:val="Iauiue1"/>
    <w:uiPriority w:val="99"/>
    <w:pPr>
      <w:keepNext/>
      <w:spacing w:after="120" w:line="360" w:lineRule="auto"/>
      <w:jc w:val="center"/>
    </w:pPr>
    <w:rPr>
      <w:b/>
      <w:bCs/>
      <w:i/>
      <w:iCs/>
      <w:spacing w:val="20"/>
      <w:sz w:val="24"/>
      <w:szCs w:val="24"/>
    </w:rPr>
  </w:style>
  <w:style w:type="character" w:customStyle="1" w:styleId="Iniiaiieoeoo2">
    <w:name w:val="Iniiaiie o?eoo2"/>
    <w:uiPriority w:val="99"/>
  </w:style>
  <w:style w:type="character" w:customStyle="1" w:styleId="Iniiaiieoeoo1">
    <w:name w:val="Iniiaiie o?eoo1"/>
    <w:uiPriority w:val="99"/>
    <w:rPr>
      <w:sz w:val="20"/>
      <w:szCs w:val="20"/>
    </w:rPr>
  </w:style>
  <w:style w:type="paragraph" w:customStyle="1" w:styleId="Iniiaiieoaeno">
    <w:name w:val="Iniiaiie oaeno"/>
    <w:basedOn w:val="Iauiue1"/>
    <w:uiPriority w:val="99"/>
    <w:pPr>
      <w:spacing w:after="120" w:line="360" w:lineRule="auto"/>
      <w:jc w:val="both"/>
    </w:pPr>
    <w:rPr>
      <w:sz w:val="24"/>
      <w:szCs w:val="24"/>
    </w:rPr>
  </w:style>
  <w:style w:type="paragraph" w:customStyle="1" w:styleId="Iniiaiieoaeno2">
    <w:name w:val="Iniiaiie oaeno 2"/>
    <w:basedOn w:val="Iauiue1"/>
    <w:uiPriority w:val="99"/>
    <w:pPr>
      <w:spacing w:before="120" w:after="120"/>
      <w:ind w:left="426" w:hanging="426"/>
      <w:jc w:val="both"/>
    </w:pPr>
    <w:rPr>
      <w:sz w:val="24"/>
      <w:szCs w:val="24"/>
    </w:rPr>
  </w:style>
  <w:style w:type="paragraph" w:customStyle="1" w:styleId="oaenoniinee">
    <w:name w:val="oaeno niinee"/>
    <w:basedOn w:val="Iauiue1"/>
    <w:uiPriority w:val="99"/>
  </w:style>
  <w:style w:type="character" w:customStyle="1" w:styleId="ciaeniinee">
    <w:name w:val="ciae niinee"/>
    <w:uiPriority w:val="99"/>
    <w:rPr>
      <w:sz w:val="20"/>
      <w:szCs w:val="20"/>
      <w:vertAlign w:val="superscript"/>
    </w:rPr>
  </w:style>
  <w:style w:type="paragraph" w:customStyle="1" w:styleId="Ieieeeieiioeooe">
    <w:name w:val="Ie?iee eieiioeooe"/>
    <w:basedOn w:val="Iauiue2"/>
    <w:uiPriority w:val="99"/>
    <w:pPr>
      <w:tabs>
        <w:tab w:val="center" w:pos="4153"/>
        <w:tab w:val="right" w:pos="8306"/>
      </w:tabs>
    </w:pPr>
  </w:style>
  <w:style w:type="character" w:customStyle="1" w:styleId="iiianoaieou">
    <w:name w:val="iiia? no?aieou"/>
    <w:uiPriority w:val="99"/>
  </w:style>
  <w:style w:type="paragraph" w:styleId="a5">
    <w:name w:val="Title"/>
    <w:basedOn w:val="a"/>
    <w:link w:val="a6"/>
    <w:uiPriority w:val="99"/>
    <w:qFormat/>
    <w:pPr>
      <w:widowControl w:val="0"/>
      <w:jc w:val="center"/>
    </w:pPr>
    <w:rPr>
      <w:spacing w:val="20"/>
      <w:sz w:val="24"/>
      <w:szCs w:val="24"/>
      <w:lang w:val="ru-RU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14066</Words>
  <Characters>8018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в природных и техногенных чрезвычайных ситуациях</vt:lpstr>
    </vt:vector>
  </TitlesOfParts>
  <Company>Home Computer Ltd.</Company>
  <LinksUpToDate>false</LinksUpToDate>
  <CharactersWithSpaces>22040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 природных и техногенных чрезвычайных ситуациях</dc:title>
  <dc:subject/>
  <dc:creator>Nick &amp; Fred</dc:creator>
  <cp:keywords/>
  <dc:description/>
  <cp:lastModifiedBy>admin</cp:lastModifiedBy>
  <cp:revision>2</cp:revision>
  <cp:lastPrinted>2000-12-14T19:53:00Z</cp:lastPrinted>
  <dcterms:created xsi:type="dcterms:W3CDTF">2014-01-27T13:55:00Z</dcterms:created>
  <dcterms:modified xsi:type="dcterms:W3CDTF">2014-01-27T13:55:00Z</dcterms:modified>
</cp:coreProperties>
</file>