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1C" w:rsidRPr="00CC469A" w:rsidRDefault="006C611C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Введение</w:t>
      </w:r>
    </w:p>
    <w:p w:rsidR="00CC469A" w:rsidRDefault="00CC469A" w:rsidP="00CC469A">
      <w:pPr>
        <w:pStyle w:val="a9"/>
        <w:rPr>
          <w:rFonts w:eastAsia="TimesNewRomanPS-BoldMT"/>
        </w:rPr>
      </w:pP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Сегодня в эпоху бурного развития информационных технологий, ускорения процессов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информатизации, развития систем массовых коммуникаций, глобализации 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интернационализации Интернет приобрел функцию мирового информационного ресурса.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Совершенно неизмеримый объем данных охватывает все области интересов мирового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сообщества.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Развитие институтов прав интеллектуальной собственности (ПИС) сегодня во многих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странах находится на начальной стадии, что в свою очередь можно выделить как проблему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развития всего международного права. Новый день диктует миру новое требование, которое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 глобальном интегрированном мировом сообществе может быть только одно: глобальное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развитие институтов в мировом масштабе. Каждый человек способен получить доступ к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информации, запрещенной у себя в стране, всего лишь зайдя на сайт, находящийся в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юрисдикции другого государства. Это делает меры по защите ПИС полностью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несостоятельными.</w:t>
      </w:r>
    </w:p>
    <w:p w:rsidR="00CC469A" w:rsidRDefault="00CC469A" w:rsidP="00CC469A">
      <w:pPr>
        <w:pStyle w:val="a9"/>
        <w:rPr>
          <w:rFonts w:eastAsia="TimesNewRomanPS-BoldMT"/>
        </w:rPr>
      </w:pPr>
      <w:r>
        <w:rPr>
          <w:rFonts w:eastAsia="TimesNewRomanPS-BoldMT"/>
        </w:rPr>
        <w:br w:type="page"/>
      </w:r>
      <w:r w:rsidR="004C28DF" w:rsidRPr="00CC469A">
        <w:rPr>
          <w:rFonts w:eastAsia="TimesNewRomanPS-BoldMT"/>
        </w:rPr>
        <w:t>Общие положения</w:t>
      </w:r>
      <w:r>
        <w:rPr>
          <w:rFonts w:eastAsia="TimesNewRomanPS-BoldMT"/>
        </w:rPr>
        <w:t xml:space="preserve"> защиты авторских прав</w:t>
      </w:r>
    </w:p>
    <w:p w:rsidR="004C28DF" w:rsidRPr="00CC469A" w:rsidRDefault="004C28DF" w:rsidP="00CC469A">
      <w:pPr>
        <w:pStyle w:val="a9"/>
        <w:rPr>
          <w:rFonts w:eastAsia="TimesNewRomanPS-BoldMT"/>
        </w:rPr>
      </w:pP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 xml:space="preserve">Право на защиту можно определить как </w:t>
      </w:r>
      <w:r w:rsidRPr="00CC469A">
        <w:rPr>
          <w:rFonts w:eastAsia="TimesNewRomanPS-ItalicMT"/>
        </w:rPr>
        <w:t>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</w:t>
      </w:r>
      <w:r w:rsidRPr="00CC469A">
        <w:rPr>
          <w:rFonts w:eastAsia="TimesNewRomanPS-BoldMT"/>
        </w:rPr>
        <w:t xml:space="preserve">. Различают две основные формы защиты - </w:t>
      </w:r>
      <w:r w:rsidRPr="00CC469A">
        <w:rPr>
          <w:rFonts w:eastAsia="TimesNewRomanPS-ItalicMT"/>
        </w:rPr>
        <w:t xml:space="preserve">юрисдикционную </w:t>
      </w:r>
      <w:r w:rsidRPr="00CC469A">
        <w:rPr>
          <w:rFonts w:eastAsia="TimesNewRomanPS-BoldMT"/>
        </w:rPr>
        <w:t xml:space="preserve">и </w:t>
      </w:r>
      <w:r w:rsidRPr="00CC469A">
        <w:rPr>
          <w:rFonts w:eastAsia="TimesNewRomanPS-ItalicMT"/>
        </w:rPr>
        <w:t>неюрисдикционную</w:t>
      </w:r>
      <w:r w:rsidRPr="00CC469A">
        <w:rPr>
          <w:rFonts w:eastAsia="TimesNewRomanPS-BoldMT"/>
        </w:rPr>
        <w:t>.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ItalicMT"/>
        </w:rPr>
        <w:t xml:space="preserve">Юрисдикционная форма защиты </w:t>
      </w:r>
      <w:r w:rsidRPr="00CC469A">
        <w:rPr>
          <w:rFonts w:eastAsia="TimesNewRomanPS-BoldMT"/>
        </w:rPr>
        <w:t xml:space="preserve">- это деятельность уполномоченных государством органов по защите нарушенных или оспариваемых субъективных авторских и смежных прав. В рамках юрисдикционной формы защиты, в свою очередь, выделяются </w:t>
      </w:r>
      <w:r w:rsidRPr="00CC469A">
        <w:rPr>
          <w:rFonts w:eastAsia="TimesNewRomanPS-ItalicMT"/>
        </w:rPr>
        <w:t xml:space="preserve">общий (судебный) и специальный (административный) порядки </w:t>
      </w:r>
      <w:r w:rsidRPr="00CC469A">
        <w:rPr>
          <w:rFonts w:eastAsia="TimesNewRomanPS-BoldMT"/>
        </w:rPr>
        <w:t>защиты нарушенных авторских прав.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ItalicMT"/>
        </w:rPr>
        <w:t xml:space="preserve">Неюрисдикционная форма защиты </w:t>
      </w:r>
      <w:r w:rsidRPr="00CC469A">
        <w:rPr>
          <w:rFonts w:eastAsia="TimesNewRomanPS-BoldMT"/>
        </w:rPr>
        <w:t>охватывает собой действия граждан и организаций по защите авторских прав, которые совершаются ими самостоятельно без обращения за помощью к государственным или иным компетентным органам (действия, совершаемые в порядке необходимой обороны и крайней необходимости).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 xml:space="preserve">Под </w:t>
      </w:r>
      <w:r w:rsidRPr="00CC469A">
        <w:rPr>
          <w:rFonts w:eastAsia="TimesNewRomanPS-ItalicMT"/>
        </w:rPr>
        <w:t xml:space="preserve">способами защиты </w:t>
      </w:r>
      <w:r w:rsidRPr="00CC469A">
        <w:rPr>
          <w:rFonts w:eastAsia="TimesNewRomanPS-BoldMT"/>
        </w:rPr>
        <w:t>авторских прав понимаются закрепленные законом материально-правовые меры принудительного характера, посредством которых производится восстановление (признание) нарушенных (оспариваемых) прав и воздействие на правонарушителя.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Об этих способах говорит нам ст. 1250 ГК РФ, и к ним относятся: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1) признание прав;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2) восстановления положения, существовавшего до нарушения права;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3) прекращения действий, нарушающих право или создающих угрозу его нарушению;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4) возмещения убытков;</w:t>
      </w:r>
    </w:p>
    <w:p w:rsidR="00CC469A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5) взыскания дохода, полученного нарушителем вследствие нарушения авторских и смежных прав;</w:t>
      </w:r>
    </w:p>
    <w:p w:rsidR="004C28DF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6) выплаты компенсации в определенных законом пределах.</w:t>
      </w:r>
    </w:p>
    <w:p w:rsidR="006C611C" w:rsidRPr="00CC469A" w:rsidRDefault="006C611C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Состояние защиты авторских прав и интеллектуальной собственности в сети</w:t>
      </w:r>
    </w:p>
    <w:p w:rsidR="00CC469A" w:rsidRDefault="00CC469A" w:rsidP="00CC469A">
      <w:pPr>
        <w:pStyle w:val="a9"/>
        <w:rPr>
          <w:rFonts w:eastAsia="TimesNewRomanPS-BoldMT"/>
        </w:rPr>
      </w:pP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Многие серверы, опубликовывая и распространяя информацию,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входящую в категорию подлежащих защите ПИС, сегодня могут сослаться на Гражданский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Кодекс РФ, согласно которому ссылка на любые данные (информационное сообщение) сама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 себе не является объектом авторского права (хотя может нарушать "соглашение об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использовании сайта").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Используется также ряд международных актов «О свободе информации в сети интернет»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 будут совершенно правы. Ведь в абсолютном большинстве стран нормы международного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характера носят главенствующий характер.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Передача данных по типу «P2P», то есть напрямую с одного персонального компьютера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на другой с помощью программ «BitTorrent», «μTorrent», «rTorrent», «Ktorrent», «BitComet»,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«Deluge», «eMule», «Azureus» и им подобных приобретают сегодня все большую и большую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популярность среди пользователей интернета по всему миру. Опубликование так называемых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«библиотек файлов», предназначенных для поиска необходимой информации и установления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связи с носителем информации осуществляется на сайтах называемых «Торрент-трекерами».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Необходимо отметить, что сами файлы при этом на сайте или его сервере не хранятся 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вообще не имеют к самому сайту никакого отношения.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По состоянию на начало 2009 года крупнейший подобный сайт в Российской Федерации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«www.torrents.ru» имеет около 3 500 000 зарегистрированных пользователей. Одним из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наиболее крупных в мире на сегодня является «www.mininova.org», где число пользователей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равно 10 443 383, а обмен данными на 8 февраля 2009 года составил более 7 354 811</w:t>
      </w:r>
      <w:r w:rsidR="00CC469A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685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пакетов файлов.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Было большое противоречие по использованию программ torrent. Сами torrent metafiles не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хранят данные, которые защищены авторским правом, следовательно, сам torrent не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незаконен – это использование программы с целью скопировать материал, который защищен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авторским правом, что нарушает некоторые положения законодательства об авторском праве.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На сегодня существует ряд судебных исков по привлечению людей занимающихся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созданием «торрент-трекеров» к ответственности. Многие трекеры были закрыты. Так на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один из крупнейших в мире торрент-трекеров «The Pirate Bay», на котором публично были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показаны письма и ответы на предмет предполагаемых нарушений авторского права, был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совершен рейд полиции, но он не дал своих результатов, работоспособность сайта была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восстановлена уже через сутки.</w:t>
      </w:r>
    </w:p>
    <w:p w:rsidR="004C28DF" w:rsidRPr="00CC469A" w:rsidRDefault="004C28DF" w:rsidP="00CC469A">
      <w:pPr>
        <w:pStyle w:val="a9"/>
        <w:rPr>
          <w:rFonts w:eastAsia="TimesNewRomanPS-BoldMT"/>
        </w:rPr>
      </w:pPr>
    </w:p>
    <w:p w:rsidR="004C28DF" w:rsidRPr="00CC469A" w:rsidRDefault="004C28DF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Проблемы искового производства</w:t>
      </w:r>
    </w:p>
    <w:p w:rsidR="00C43B9F" w:rsidRDefault="00C43B9F" w:rsidP="00CC469A">
      <w:pPr>
        <w:pStyle w:val="a9"/>
        <w:rPr>
          <w:rFonts w:eastAsia="TimesNewRomanPS-BoldMT"/>
        </w:rPr>
      </w:pP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При возбуждении исков правообладателей о неправомерном распространении продукции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 сети Интернет, современное законодательство сталкивается со следующими проблемами: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1) Невозможность установления объекта преступления. На торрент-трекерах не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содержится самой информации, только ссылка для P2P соединения. Доказать что эта ссылка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содержит именно ту информацию, которая в свою очередь является объектом ПИС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представляется мало возможным.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2) Фактическим нарушителем норм действующего законодательства является конечный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пользователь программы torrent, который использует объект ПИС, нарушая правила о его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распространении.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При этом если гражданин скопировал информацию себе на жесткий диск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исключительно для хранения без использования, то он не может быть признан виновным в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правонарушении.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3) Малая возможность определить правонарушителя. Определить правонарушителя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весьма трудно, так как это возможно только путем определения IP адреса правонарушителя,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который в свою очередь у большинства провайдеров является динамическим, т.е. изменяется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при каждом новом соединении.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4) Сложности доказательства вины и умысла правонарушителя.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Приведем практический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пример, где правонарушитель совершает скачивание информации являющейся объектом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ПИС. На сайте выложена информация: "бесплатная версия 1С". Пользователь поверил,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скачал. Он знал, что скачал. Умышленно ли он нарушал закон? Он может утверждать: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«Полагал, что это рекламная акция в честь праздника и решил скорее скачать пока акция не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закончилась».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При запуске программы существует лицензионное соглашение, но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правонарушитель скажет: «Программу не запускал и соглашения не видел». Отсюда доказать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его вину по статье 146 УК РФ представляется мало возможным.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5) Ряд международных актов, таких как</w:t>
      </w:r>
      <w:r w:rsidR="00DB3FCC" w:rsidRPr="00CC469A">
        <w:rPr>
          <w:rFonts w:eastAsia="TimesNewRomanPS-BoldMT"/>
        </w:rPr>
        <w:t>:</w:t>
      </w:r>
    </w:p>
    <w:p w:rsidR="00CC469A" w:rsidRPr="00CC469A" w:rsidRDefault="00DB3FCC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 xml:space="preserve">- </w:t>
      </w:r>
      <w:r w:rsidR="00D92A04" w:rsidRPr="00CC469A">
        <w:rPr>
          <w:rFonts w:eastAsia="TimesNewRomanPS-BoldMT"/>
        </w:rPr>
        <w:t>«Digital Millennium Copyright Act» («Закон об</w:t>
      </w:r>
      <w:r w:rsidR="006C611C" w:rsidRPr="00CC469A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авторском праве в цифровую эпоху»),</w:t>
      </w:r>
    </w:p>
    <w:p w:rsidR="00CC469A" w:rsidRPr="00CC469A" w:rsidRDefault="00DB3FCC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 xml:space="preserve">- </w:t>
      </w:r>
      <w:r w:rsidR="00D92A04" w:rsidRPr="00CC469A">
        <w:rPr>
          <w:rFonts w:eastAsia="TimesNewRomanPS-BoldMT"/>
        </w:rPr>
        <w:t>«European Copyright Directive» («Директива ЕС об</w:t>
      </w:r>
      <w:r w:rsidR="006C611C" w:rsidRPr="00CC469A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авторском праве»)</w:t>
      </w:r>
      <w:r w:rsidR="00C43B9F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выводят за пределы правового поля не только непосредственное</w:t>
      </w:r>
      <w:r w:rsidR="006C611C" w:rsidRPr="00CC469A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нарушение авторских прав путем копирования, но и производство и распространение</w:t>
      </w:r>
      <w:r w:rsidR="006C611C" w:rsidRPr="00CC469A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технологий, позволяющих обходить технические средства защиты авторских прав (вплоть до</w:t>
      </w:r>
      <w:r w:rsidR="00C84DC5" w:rsidRPr="00CC469A">
        <w:rPr>
          <w:rFonts w:eastAsia="TimesNewRomanPS-BoldMT"/>
        </w:rPr>
        <w:t xml:space="preserve"> </w:t>
      </w:r>
      <w:r w:rsidR="00D92A04" w:rsidRPr="00CC469A">
        <w:rPr>
          <w:rFonts w:eastAsia="TimesNewRomanPS-BoldMT"/>
        </w:rPr>
        <w:t>невозможности добросовестного использования).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Акты ужесточает ответственность за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нарушение ПИС с помощью Интернет, в то же время, защищая провайдеров от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ответственности за действия пользователей. Таким образом, это позволяет собственнику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торрент-трекера снимать с себя ответственность, ссылаясь на международные нормы права.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ходе исследования данной проблемы были определены и предложены пути развития 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совершенствования законодательства в России с целью закрепления правовых норм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регулирующих обмен информации содержащей объекты прав интеллектуальной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собственности в сети Интернет.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Мы считаем, что обмен данными по средством электронной связи в сети Интернет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должен быть отдельно закреплен путем введения новых положений в IV часть Гражданского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Кодекса РФ: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1) Распространение объектов ПИС в сети Интернет должно быть закреплено в рамках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отдельной правовой категории.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2) Необходимо четко обозначить ответственность лиц размещающих и способствующих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размещению или распространению информации, содержащей объекты ПИС.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3) Введение четких критериев возможности распространения подобной информации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позволит в значительной степени упорядочить и отграничить правомерное распространение</w:t>
      </w:r>
      <w:r w:rsidR="00C84DC5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от неправомерного.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4) Необходимо четкое закрепление классификации критериев правонарушения.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5) Закрепить и разграничить нормы ответственности за распространение информации</w:t>
      </w:r>
      <w:r w:rsidR="006C611C" w:rsidRPr="00CC469A">
        <w:rPr>
          <w:rFonts w:eastAsia="TimesNewRomanPS-BoldMT"/>
        </w:rPr>
        <w:t xml:space="preserve"> </w:t>
      </w:r>
      <w:r w:rsidR="00C84DC5" w:rsidRPr="00CC469A">
        <w:rPr>
          <w:rFonts w:eastAsia="TimesNewRomanPS-BoldMT"/>
        </w:rPr>
        <w:t>содержащей объекты ПИС.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Проблемы доказывания нарушения авторских и смежных прав в сети Интернет</w:t>
      </w:r>
    </w:p>
    <w:p w:rsidR="00C43B9F" w:rsidRDefault="00C43B9F" w:rsidP="00CC469A">
      <w:pPr>
        <w:pStyle w:val="a9"/>
        <w:rPr>
          <w:rFonts w:eastAsia="TimesNewRomanPS-BoldMT"/>
        </w:rPr>
      </w:pP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Проблема борьбы с нарушениями авторских и смежных прав является для России важной,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актуальной и комплексной. От ее решения во многом зависит сохранение и наращивание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интеллектуального потенциала, культурного наследия, повышение международного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авторитета и снижение криминальной напряженности в стране.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Глобальные информационные сети представляют собой неотъемлемое от жизни общества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сложное социальное, информационное и правовое явление. В Интернете сосредоточено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колоссальное количество самой разнообразной информации. Эту информацию можно найти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 использовать в тех или иных целях.</w:t>
      </w:r>
    </w:p>
    <w:p w:rsidR="006C611C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Там можно разместить любую информацию, в том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числе предложения политического, коммерческого и личного характера. В глобальных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информационных сетях размещаются также литературные и музыкальные произведения,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товарные знаки, знаки обслуживания и иные объекты интеллектуальной собственности.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По поводу правомерности использования в Интернете объектов интеллектуальной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собственности, а также соответствия действительности информации, размещенной либо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перемещенной с помощью глобальных информационных сетей, порой возникают правовые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споры, которые разрешаются судами общей юрисдикции, арбитражными и третейскими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судами. При этом размещенная в Интернете информация в ряде случаев приобретает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доказательственное значение и используется судами при разрешении соответствующих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споров.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современной судебной практике и, в частности, по делам о защите чести и достоинства,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отдельным избирательным спорам, делам, связанным с защитой интеллектуальной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собственности, стороны не так уж редко ссылаются на информацию, почерпнутую из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Интернета. Необходимо отметить, что разные ветви судебной власти относятся к такого рода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информации по-разному.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частности, арбитражные суды без каких-либо оговорок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рассматривают подобную информацию в качестве доказательств. Суды же общей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юрисдикции до недавнего времени исключали подобную информацию из сферы судебного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исследования, ссылаясь на ее недопустимость. И формальным основанием для такой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постановки вопроса являются положения ст. 55 ГПК РФ, которые исчерпывающим образом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определяют круг процессуальных источников, из которых суд может получить информацию,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имеющую значение для дела.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данном отношении от положений ГПК РФ выгодно отличаются нормы главы 7 АПК РФ.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 частности, на основании ч. 2 ст. 64, ст. 89 АПК РФ в качестве доказательств, наряду с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традиционными средствами доказывания, которые предусмотрены как в АПК РФ, так и в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ГПК РФ, допускаются также "иные документы и материалы".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Отказ от исчерпывающего перечня средств доказывания дает возможность использования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 современном арбитражном процессе в качестве доказательств разнообразных современных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средств информации.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Практика же судов общей юрисдикции, в том числе практика Верховного Суда РФ, по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отношению к информации, полученной из Интернета, является противоречивой. В одних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случаях суды, ссылаясь на правило допустимости доказательств (ст. 60 ГПК РФ),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категорически отказываются исследовать эту информацию, в других же считают возможным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использовать ее в качестве средства доказывания. Последняя практика представляется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правильной.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Так же существуют определенные сложности в доказывании крупного и особо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крупного ущерба в рамках диспозиции статьи 146 Уголовного кодекса РФ.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 соответствии с примечанием к ст. 146 УК РФ деяния, предусмотренные в данной статье,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признаются совершенными в крупном размере, если стоимость экземпляров произведений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или фонограмм либо стоимость прав на использование объектов авторского права и смежных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прав превышают пятьдесят тысяч рублей, а в особо крупном размере - двести пятьдесят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тысяч рублей.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настоящее время главным спорным вопросом применения ч. 2 ст. 146 УК РФ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(нарушение имущественных авторских и смежных прав) на практике является порядок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определения крупного размера посягательства.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случае же нарушений прав авторов в Интернете, когда "розничной стоимости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оригинальных экземпляров произведений" нет, определять крупный размер следует исходя из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стоимости прав.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Таким образом, при обнаружении контрафактного экземпляра произведения применяется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цена материального носителя с записью объекта авторских (смежных) прав, если же такого</w:t>
      </w:r>
      <w:r w:rsidR="00C87F1B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носителя нет - стоимость прав. Это прямо относится к интернет-пиратству, когда файлы с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произведениями незаконно "доводятся до всеобщего сведения", тем самым нарушая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авторские и смежные права.</w:t>
      </w: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В юридической литературе и на практике имеются разногласия по данному вопросу. Одни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полагают, что стоимость контрафактных произведений или фонограмм - та, по которой их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реализовывал нарушитель. Другие придерживаются мнения, что это средняя стоимость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соответствующих им оригинальных произведений или фонограмм, по которой они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реализуются в данном населенном пункте. Однако верной представляется точка зрения о том,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что это стоимость оригинальных произведений или фонограмм, установленная самим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правообладателем, т.е. стоимость, по которой их реализовывает правообладатель.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Методики определения стоимости прав произведений, расположенных в Интернете,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при отсутствии стоимости оригинальных экземпляров произведений, не существует, что,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естественно, не способствует эффективности правоприменительной практики, приводит к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бездейственности норм уголовного законодательства и безнаказанности виновных</w:t>
      </w:r>
      <w:r w:rsidR="004C28DF" w:rsidRPr="00CC469A">
        <w:rPr>
          <w:rFonts w:eastAsia="TimesNewRomanPS-BoldMT"/>
        </w:rPr>
        <w:t>.</w:t>
      </w:r>
    </w:p>
    <w:p w:rsidR="00D92A04" w:rsidRPr="00CC469A" w:rsidRDefault="00C43B9F" w:rsidP="00CC469A">
      <w:pPr>
        <w:pStyle w:val="a9"/>
        <w:rPr>
          <w:rFonts w:eastAsia="TimesNewRomanPS-BoldMT"/>
        </w:rPr>
      </w:pPr>
      <w:r>
        <w:rPr>
          <w:rFonts w:eastAsia="TimesNewRomanPS-BoldMT"/>
        </w:rPr>
        <w:br w:type="page"/>
      </w:r>
      <w:r w:rsidR="006C611C" w:rsidRPr="00CC469A">
        <w:rPr>
          <w:rFonts w:eastAsia="TimesNewRomanPS-BoldMT"/>
        </w:rPr>
        <w:t>Заключение</w:t>
      </w:r>
    </w:p>
    <w:p w:rsidR="00C43B9F" w:rsidRDefault="00C43B9F" w:rsidP="00CC469A">
      <w:pPr>
        <w:pStyle w:val="a9"/>
        <w:rPr>
          <w:rFonts w:eastAsia="TimesNewRomanPS-BoldMT"/>
        </w:rPr>
      </w:pPr>
    </w:p>
    <w:p w:rsidR="00CC469A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Динамичное развитие науки, техники и культуры невозможно без соответствующего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законодательного закрепления прав интеллектуальной собственности. Обращаясь к понятию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интеллектуальной собственности, необходимо отметить, что данная категория обладает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достаточно длительной историей своего развития.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Юридическое закрепление права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интеллектуальной собственности и, в частности, авторского права, по сути, означает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осознание государством важности культуры и прогресса для сохранения и развития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общества. Охрана результатов творчества, авторских прав непосредственно связано с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защитой свободы личности, прав человека вообще.</w:t>
      </w:r>
    </w:p>
    <w:p w:rsidR="00D92A04" w:rsidRPr="00CC469A" w:rsidRDefault="00D92A04" w:rsidP="00CC469A">
      <w:pPr>
        <w:pStyle w:val="a9"/>
        <w:rPr>
          <w:rFonts w:eastAsia="TimesNewRomanPS-BoldMT"/>
        </w:rPr>
      </w:pPr>
      <w:r w:rsidRPr="00CC469A">
        <w:rPr>
          <w:rFonts w:eastAsia="TimesNewRomanPS-BoldMT"/>
        </w:rPr>
        <w:t>Только качественная работа всех «профильных» органов государственной власти и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заинтересованных организаций и совершенствование нормативно-правовой базы позволит</w:t>
      </w:r>
      <w:r w:rsidR="006C611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обеспечить дальнейшее развитие института осуществления и защиты авторских прав.</w:t>
      </w:r>
    </w:p>
    <w:p w:rsidR="00DB3FCC" w:rsidRPr="00CC469A" w:rsidRDefault="00C43B9F" w:rsidP="00CC469A">
      <w:pPr>
        <w:pStyle w:val="a9"/>
      </w:pPr>
      <w:r>
        <w:br w:type="page"/>
      </w:r>
      <w:r w:rsidR="00DB3FCC" w:rsidRPr="00CC469A">
        <w:t>Список литературы</w:t>
      </w:r>
    </w:p>
    <w:p w:rsidR="00C43B9F" w:rsidRDefault="00C43B9F" w:rsidP="00CC469A">
      <w:pPr>
        <w:pStyle w:val="a9"/>
        <w:rPr>
          <w:rFonts w:eastAsia="TimesNewRomanPS-BoldMT"/>
        </w:rPr>
      </w:pPr>
    </w:p>
    <w:p w:rsidR="00125F0E" w:rsidRPr="00CC469A" w:rsidRDefault="00125F0E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Дозорцев В.А. Интеллектуальные права: Понятие. Система. Задачи кодификации. Сборник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 xml:space="preserve">статей // Исслед. центр </w:t>
      </w:r>
      <w:r w:rsidR="00DB3FCC" w:rsidRPr="00CC469A">
        <w:rPr>
          <w:rFonts w:eastAsia="TimesNewRomanPS-BoldMT"/>
        </w:rPr>
        <w:t>частного права. М.: Статут, 2008</w:t>
      </w:r>
      <w:r w:rsidRPr="00CC469A">
        <w:rPr>
          <w:rFonts w:eastAsia="TimesNewRomanPS-BoldMT"/>
        </w:rPr>
        <w:t>.</w:t>
      </w:r>
    </w:p>
    <w:p w:rsidR="00125F0E" w:rsidRPr="00CC469A" w:rsidRDefault="00125F0E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Моргунова Е.А. Авторское право. Учебное пособие. // М.: Норма, 2008.</w:t>
      </w:r>
    </w:p>
    <w:p w:rsidR="006C611C" w:rsidRPr="00CC469A" w:rsidRDefault="006C611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Решетникова И.В., Семенова А.В., Царегородцева Е.А. Комментарий судебных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ошибок в практике применения АПК РФ. М., 2006. С. 129 - 130.</w:t>
      </w:r>
    </w:p>
    <w:p w:rsidR="006C611C" w:rsidRPr="00CC469A" w:rsidRDefault="006C611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Трунцевский Ю.В. Комментарий существенных положений Постановления Пленума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Верховного Суда Российской Федерации от 26 апреля 2007 г. N 14 "О практике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рассмотрения судами уголовных дел о нарушении авторских, смежных,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изобретательских и патентных прав, а также о незаконном использовании товарного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знака" // Уголовное право. 2007. N 4.</w:t>
      </w:r>
    </w:p>
    <w:p w:rsidR="00CC469A" w:rsidRPr="00CC469A" w:rsidRDefault="006C611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Морозов А.Г. Преступления в сфере авторских и смежных прав: общественная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опасность и правила квалификации: Автореф. дис. ... канд. юрид. наук. Н. Новгород,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2</w:t>
      </w:r>
      <w:r w:rsidR="00DB3FCC" w:rsidRPr="00CC469A">
        <w:rPr>
          <w:rFonts w:eastAsia="TimesNewRomanPS-BoldMT"/>
        </w:rPr>
        <w:t>007</w:t>
      </w:r>
      <w:r w:rsidRPr="00CC469A">
        <w:rPr>
          <w:rFonts w:eastAsia="TimesNewRomanPS-BoldMT"/>
        </w:rPr>
        <w:t>.</w:t>
      </w:r>
    </w:p>
    <w:p w:rsidR="00CC469A" w:rsidRPr="00CC469A" w:rsidRDefault="006C611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Гальченко А. Нарушение авторских и смежных прав: уголовно-правовая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характери</w:t>
      </w:r>
      <w:r w:rsidR="00DB3FCC" w:rsidRPr="00CC469A">
        <w:rPr>
          <w:rFonts w:eastAsia="TimesNewRomanPS-BoldMT"/>
        </w:rPr>
        <w:t>стика // Право и экономика. 2006</w:t>
      </w:r>
      <w:r w:rsidRPr="00CC469A">
        <w:rPr>
          <w:rFonts w:eastAsia="TimesNewRomanPS-BoldMT"/>
        </w:rPr>
        <w:t>. N 3;</w:t>
      </w:r>
    </w:p>
    <w:p w:rsidR="00CC469A" w:rsidRPr="00CC469A" w:rsidRDefault="006C611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Афтени В., Тулубьева И. Нарушение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>авторских прав и недобросовестная конкуренция // ИС. Авторское право и смежные</w:t>
      </w:r>
      <w:r w:rsidR="00DB3FCC" w:rsidRPr="00CC469A">
        <w:rPr>
          <w:rFonts w:eastAsia="TimesNewRomanPS-BoldMT"/>
        </w:rPr>
        <w:t xml:space="preserve"> </w:t>
      </w:r>
      <w:r w:rsidRPr="00CC469A">
        <w:rPr>
          <w:rFonts w:eastAsia="TimesNewRomanPS-BoldMT"/>
        </w:rPr>
        <w:t xml:space="preserve">права. </w:t>
      </w:r>
      <w:r w:rsidR="00DB3FCC" w:rsidRPr="00CC469A">
        <w:rPr>
          <w:rFonts w:eastAsia="TimesNewRomanPS-BoldMT"/>
        </w:rPr>
        <w:t>2007</w:t>
      </w:r>
      <w:r w:rsidRPr="00CC469A">
        <w:rPr>
          <w:rFonts w:eastAsia="TimesNewRomanPS-BoldMT"/>
        </w:rPr>
        <w:t>. N 3.</w:t>
      </w:r>
    </w:p>
    <w:p w:rsidR="00DB3FCC" w:rsidRPr="00CC469A" w:rsidRDefault="00DB3FC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Грушина Е. Сложный объект как новая категория интеллектуальных прав // Законодательство. 2009. №2</w:t>
      </w:r>
    </w:p>
    <w:p w:rsidR="00DB3FCC" w:rsidRPr="00CC469A" w:rsidRDefault="00DB3FCC" w:rsidP="00C43B9F">
      <w:pPr>
        <w:pStyle w:val="a9"/>
        <w:numPr>
          <w:ilvl w:val="0"/>
          <w:numId w:val="2"/>
        </w:numPr>
        <w:ind w:left="0" w:firstLine="0"/>
        <w:jc w:val="left"/>
        <w:rPr>
          <w:rFonts w:eastAsia="TimesNewRomanPS-BoldMT"/>
        </w:rPr>
      </w:pPr>
      <w:r w:rsidRPr="00CC469A">
        <w:rPr>
          <w:rFonts w:eastAsia="TimesNewRomanPS-BoldMT"/>
        </w:rPr>
        <w:t>Зенин И.А. Комментарий к Гражданскому кодексу Российской Федерации, чести четвертой. – М.: 2008</w:t>
      </w:r>
      <w:bookmarkStart w:id="0" w:name="_GoBack"/>
      <w:bookmarkEnd w:id="0"/>
    </w:p>
    <w:sectPr w:rsidR="00DB3FCC" w:rsidRPr="00CC469A" w:rsidSect="00C43B9F">
      <w:headerReference w:type="even" r:id="rId7"/>
      <w:footerReference w:type="even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88" w:rsidRDefault="00636C88">
      <w:r>
        <w:separator/>
      </w:r>
    </w:p>
  </w:endnote>
  <w:endnote w:type="continuationSeparator" w:id="0">
    <w:p w:rsidR="00636C88" w:rsidRDefault="006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7C" w:rsidRDefault="00411B7C" w:rsidP="000307C9">
    <w:pPr>
      <w:pStyle w:val="a7"/>
      <w:framePr w:wrap="around" w:vAnchor="text" w:hAnchor="margin" w:xAlign="right" w:y="1"/>
      <w:rPr>
        <w:rStyle w:val="a6"/>
      </w:rPr>
    </w:pPr>
  </w:p>
  <w:p w:rsidR="00411B7C" w:rsidRDefault="00411B7C" w:rsidP="00C57C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88" w:rsidRDefault="00636C88">
      <w:r>
        <w:separator/>
      </w:r>
    </w:p>
  </w:footnote>
  <w:footnote w:type="continuationSeparator" w:id="0">
    <w:p w:rsidR="00636C88" w:rsidRDefault="00636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7C" w:rsidRDefault="00411B7C" w:rsidP="000307C9">
    <w:pPr>
      <w:pStyle w:val="a4"/>
      <w:framePr w:wrap="around" w:vAnchor="text" w:hAnchor="margin" w:xAlign="right" w:y="1"/>
      <w:rPr>
        <w:rStyle w:val="a6"/>
      </w:rPr>
    </w:pPr>
  </w:p>
  <w:p w:rsidR="00411B7C" w:rsidRDefault="00411B7C" w:rsidP="007C79D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5040"/>
    <w:multiLevelType w:val="hybridMultilevel"/>
    <w:tmpl w:val="E39A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FE6E33"/>
    <w:multiLevelType w:val="hybridMultilevel"/>
    <w:tmpl w:val="B262CA9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A04"/>
    <w:rsid w:val="000273E8"/>
    <w:rsid w:val="000307C9"/>
    <w:rsid w:val="000A68C6"/>
    <w:rsid w:val="000F63F6"/>
    <w:rsid w:val="00125F0E"/>
    <w:rsid w:val="00224BC1"/>
    <w:rsid w:val="00350379"/>
    <w:rsid w:val="00411B7C"/>
    <w:rsid w:val="004C28DF"/>
    <w:rsid w:val="005A07B4"/>
    <w:rsid w:val="00636C88"/>
    <w:rsid w:val="00637269"/>
    <w:rsid w:val="006C611C"/>
    <w:rsid w:val="007C79DF"/>
    <w:rsid w:val="00815F1F"/>
    <w:rsid w:val="00913E74"/>
    <w:rsid w:val="00C43B9F"/>
    <w:rsid w:val="00C57C83"/>
    <w:rsid w:val="00C84DC5"/>
    <w:rsid w:val="00C87F1B"/>
    <w:rsid w:val="00CC469A"/>
    <w:rsid w:val="00D92A04"/>
    <w:rsid w:val="00DB3FCC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166270-A044-4306-BB8B-C37C5DC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A0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C79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C79DF"/>
    <w:rPr>
      <w:rFonts w:cs="Times New Roman"/>
    </w:rPr>
  </w:style>
  <w:style w:type="paragraph" w:styleId="a7">
    <w:name w:val="footer"/>
    <w:basedOn w:val="a"/>
    <w:link w:val="a8"/>
    <w:uiPriority w:val="99"/>
    <w:rsid w:val="00C57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"/>
    <w:basedOn w:val="a"/>
    <w:qFormat/>
    <w:rsid w:val="00CC469A"/>
    <w:pPr>
      <w:spacing w:line="360" w:lineRule="auto"/>
      <w:ind w:firstLine="720"/>
      <w:contextualSpacing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Патентное право: понятие и правовая природа</vt:lpstr>
    </vt:vector>
  </TitlesOfParts>
  <Company>ussr</Company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Патентное право: понятие и правовая природа</dc:title>
  <dc:subject/>
  <dc:creator>user</dc:creator>
  <cp:keywords/>
  <dc:description/>
  <cp:lastModifiedBy>admin</cp:lastModifiedBy>
  <cp:revision>2</cp:revision>
  <dcterms:created xsi:type="dcterms:W3CDTF">2014-03-06T05:09:00Z</dcterms:created>
  <dcterms:modified xsi:type="dcterms:W3CDTF">2014-03-06T05:09:00Z</dcterms:modified>
</cp:coreProperties>
</file>