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E" w:rsidRPr="000440F8" w:rsidRDefault="00FC3E9E" w:rsidP="000440F8">
      <w:pPr>
        <w:pStyle w:val="ab"/>
      </w:pPr>
      <w:r w:rsidRPr="000440F8">
        <w:t>ЗАТЯГИВАНИЕ ХОЗЯЙСТВЕННОГО И ГРАЖДАНСКОГО ПРОЦЕССА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bCs/>
          <w:iCs/>
          <w:color w:val="auto"/>
          <w:sz w:val="28"/>
          <w:szCs w:val="28"/>
          <w:lang w:val="uk-UA"/>
        </w:rPr>
      </w:pPr>
    </w:p>
    <w:p w:rsidR="00FC3E9E" w:rsidRPr="000440F8" w:rsidRDefault="00FC3E9E" w:rsidP="000440F8">
      <w:pPr>
        <w:pStyle w:val="a4"/>
        <w:spacing w:line="360" w:lineRule="auto"/>
        <w:ind w:firstLine="720"/>
        <w:rPr>
          <w:bCs/>
          <w:iCs/>
          <w:color w:val="auto"/>
          <w:sz w:val="28"/>
          <w:szCs w:val="28"/>
        </w:rPr>
      </w:pPr>
      <w:r w:rsidRPr="000440F8">
        <w:rPr>
          <w:bCs/>
          <w:iCs/>
          <w:color w:val="auto"/>
          <w:sz w:val="28"/>
          <w:szCs w:val="28"/>
        </w:rPr>
        <w:t>Затягивание судебного процесса хоть и недобросовестная, но зачастую необходимая, а поэтому и распространенная тактика ведения спора в суде. Рассмотрим механизм реализации и способы, борьбы с судебным процессом.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Часто возникают ситуации, когда необходимо затянуть рассмотрение дела в судебной инстанции на максимально длительный срок. Это может быть обусловлено разными причинами: временные финансовые трудности предприятия или физического лица, желание измором заставить кредитора отказаться от требований и т.д. и т.п. В настоящее время законодательство позволяет заниматься процессуальной диверсией. Так почему бы этим не воспользоваться?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</w:p>
    <w:p w:rsidR="00FC3E9E" w:rsidRPr="000440F8" w:rsidRDefault="00FC3E9E" w:rsidP="000440F8">
      <w:pPr>
        <w:pStyle w:val="a3"/>
      </w:pPr>
      <w:r w:rsidRPr="000440F8">
        <w:t>Затягивание хозяйственного процесса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Рассмотрим законодательную базу в свете возможности затянуть рассмотрение спора в хозяйственном суде.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 xml:space="preserve">С одной стороны, закон предписывает участникам процесса добросовестно использовать свои процессуальные права, а с другой, — никому не хочется проиграть (или «быстро» проиграть) и лишиться своих прав. Кроме того, наряду со ст. </w:t>
      </w:r>
      <w:r w:rsidRPr="000440F8">
        <w:rPr>
          <w:iCs/>
          <w:color w:val="auto"/>
          <w:sz w:val="28"/>
          <w:szCs w:val="28"/>
        </w:rPr>
        <w:t xml:space="preserve">69 Хозяйственного процессуального кодекса (ХПК) Украины («Спор должен быть разрешен хозяйственным судом в срок не более двух месяцев со дня получения искового заявления.»), </w:t>
      </w:r>
      <w:r w:rsidRPr="000440F8">
        <w:rPr>
          <w:color w:val="auto"/>
          <w:sz w:val="28"/>
          <w:szCs w:val="28"/>
        </w:rPr>
        <w:t xml:space="preserve">существует и ст. </w:t>
      </w:r>
      <w:r w:rsidRPr="000440F8">
        <w:rPr>
          <w:iCs/>
          <w:color w:val="auto"/>
          <w:sz w:val="28"/>
          <w:szCs w:val="28"/>
        </w:rPr>
        <w:t xml:space="preserve">22 ХПК Украины, </w:t>
      </w:r>
      <w:r w:rsidRPr="000440F8">
        <w:rPr>
          <w:color w:val="auto"/>
          <w:sz w:val="28"/>
          <w:szCs w:val="28"/>
        </w:rPr>
        <w:t>часть третья которой гласит: «Стороны обязаны добросовестно пользоваться надлежащими им процессуальными правами, проявлять взаимное уважение к правам и охраняемым законом интересам второй стороны, принимать меры к всестороннему, полному и объективному исследованию всех обстоятельств дела». Обращаем внимание на последнюю фразу. Именно этой нормой и нормами о праве обжаловать решения суда и следует пользоваться при затягивании процесса.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До недавнего времени хозяйственный процесс затянуть было значительно проще, чем гражданский. Чтобы затянуть рассмотрение дела в хозяйственном суде, достаточно было просто обжаловать определение о возбуждении дела (которое не подлежит обжалованию) и, приложив незначительные усилия, ждать, пока оно пройдет все национальные судебные инстанции.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 xml:space="preserve">Механизм был простым: участник процесса подавал апелляционную жалобу на определение хозяйственного суда о возбуждении дела, а суд в течение пяти дней обязан был направить ее в апелляционную инстанцию (ч. 3 </w:t>
      </w:r>
      <w:r w:rsidRPr="000440F8">
        <w:rPr>
          <w:iCs/>
          <w:color w:val="auto"/>
          <w:sz w:val="28"/>
          <w:szCs w:val="28"/>
        </w:rPr>
        <w:t xml:space="preserve">ст. 91 ХПК Украины). </w:t>
      </w:r>
      <w:r w:rsidRPr="000440F8">
        <w:rPr>
          <w:color w:val="auto"/>
          <w:sz w:val="28"/>
          <w:szCs w:val="28"/>
        </w:rPr>
        <w:t>Производство по делу приостанавливалось на время рассмотрения апелляционной жалобы. После вынесения решения в апелляционной инстанции определение обжаловалось в кассационной инстанции. Это занимало еще достаточно много времени. И следует отметить, что эта система успешно и безотказно работала на благо недобросовестных жалобщиков.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 xml:space="preserve">Однако, учитывая массовость таких формальных обжалований, Верховный Суд Украины (ВСУ) вместе с Высшим хозяйственным судом Украины (ВХСУ) перекрыли доступ к такого родам затягиванием. Теперь, в соответствии с </w:t>
      </w:r>
      <w:r w:rsidRPr="000440F8">
        <w:rPr>
          <w:iCs/>
          <w:color w:val="auto"/>
          <w:sz w:val="28"/>
          <w:szCs w:val="28"/>
        </w:rPr>
        <w:t xml:space="preserve">Информационным письмом ВХСУ от 31.01.2005 г. N 01-8/157 и Информационным письмом ВСУ от 17 .01.2005 г. N 1/3.2, </w:t>
      </w:r>
      <w:r w:rsidRPr="000440F8">
        <w:rPr>
          <w:color w:val="auto"/>
          <w:sz w:val="28"/>
          <w:szCs w:val="28"/>
        </w:rPr>
        <w:t>местные хозяйственные суды, получив апелляционную жалобу на определение, не подлежащее обжалованию, просто возвращают их заявителю вместе с прилагающимися материалами. Таким образом, дело остается в местном суде, а производство по нему не прекращается.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Впрочем, это далеко не единственный способ «потянуть резину». Для этого необходимо вынудить суд вынести определение, которое можно обжаловать, или подать на него встречный иск. С успехом практикуются оба действия, совершаемые одно за другим. Так, получив определение о возбуждении дела хозяйственным судом, вы сразу же подаете встречный иск. Идеальный вариант, когда суд рассматривает спор о взыскании задолженности по договорным обязательствам. В таком случае долго думать не нужно, чтобы подать встречный иск о признании недействительным или незаключенным соответствующего договора. Хотя в любом случае существует свой вариант встречного иска в зависимости от категории дела.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Итак, составляете встречный иск и подаете его в хозяйственный суд, но не прилагаете к нему доказательства оплаты государственной пошлины и затрат на информационно-техническое обеспечение процесса (поступаете так, чтобы у суда были все основания для возврата вашего встречного иска). О возвращении встречного иска суд в течение пяти дней выносит определение, которое можно смело обжаловать. Система обжалования при этом остается такой же, как и в первом варианте: суд направляет вашу апелляционную жалобу вместе с материалами дела в апелляционную инстанцию и приостанавливает производство по нему, после идет обжалование в кассации.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 xml:space="preserve">Применив этот вариант, недобросовестная сторона выигрывает времени даже больше, чем в случае обжалования определения о принятии к рассмотрению дела, поскольку определение об отказе в принятии встречного иска подлежит обжалованию </w:t>
      </w:r>
      <w:r w:rsidRPr="000440F8">
        <w:rPr>
          <w:iCs/>
          <w:color w:val="auto"/>
          <w:sz w:val="28"/>
          <w:szCs w:val="28"/>
        </w:rPr>
        <w:t xml:space="preserve">(ч.2 ст.63 ХПК Украины) </w:t>
      </w:r>
      <w:r w:rsidRPr="000440F8">
        <w:rPr>
          <w:color w:val="auto"/>
          <w:sz w:val="28"/>
          <w:szCs w:val="28"/>
        </w:rPr>
        <w:t>и суд апелляционной инстанции должен обязательно назначить к рассмотрению апелляционную жалобу, а не сразу отказать в ее принятии.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 xml:space="preserve">Этот механизм пока успешно работает. Возможно, законодатель в скором времени исправит этот недостаток путем заимствования соответствующей нормы из </w:t>
      </w:r>
      <w:r w:rsidRPr="000440F8">
        <w:rPr>
          <w:iCs/>
          <w:color w:val="auto"/>
          <w:sz w:val="28"/>
          <w:szCs w:val="28"/>
        </w:rPr>
        <w:t xml:space="preserve">Гражданского процессуального кодекса (ГПК) Украины (ст. 139), </w:t>
      </w:r>
      <w:r w:rsidRPr="000440F8">
        <w:rPr>
          <w:color w:val="auto"/>
          <w:sz w:val="28"/>
          <w:szCs w:val="28"/>
        </w:rPr>
        <w:t>которая регулирует процессуальные вопросы, связанные с оставлением заявления без движения в случае его несоответствия требованиям процессуального закона.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Также эффективным способом для затягивания рассмотрения дела может служить заявление ходатайства об обеспечении иска.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Кроме того, в ходе судебного процесса существует еще несколько способов для искусственного «выдумывания» определений. Например, в ходе рассмотрения дела ответчик заявляет ходатайство, в котором сообщает, что считает рассматриваемое дело чрезвычайно важным для экономики страны и просит привлечь к рассмотрению дела прокурора.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 xml:space="preserve">Рассмотрим ст. </w:t>
      </w:r>
      <w:r w:rsidRPr="000440F8">
        <w:rPr>
          <w:iCs/>
          <w:color w:val="auto"/>
          <w:sz w:val="28"/>
          <w:szCs w:val="28"/>
        </w:rPr>
        <w:t>36</w:t>
      </w:r>
      <w:r w:rsidRPr="000440F8">
        <w:rPr>
          <w:iCs/>
          <w:color w:val="auto"/>
          <w:sz w:val="28"/>
          <w:szCs w:val="28"/>
          <w:vertAlign w:val="superscript"/>
        </w:rPr>
        <w:t>1</w:t>
      </w:r>
      <w:r w:rsidRPr="000440F8">
        <w:rPr>
          <w:iCs/>
          <w:color w:val="auto"/>
          <w:sz w:val="28"/>
          <w:szCs w:val="28"/>
        </w:rPr>
        <w:t xml:space="preserve"> Закона Украины от 1991.11.2005 г. N 1789-XII «О прокуратуре»: «Представительство прокуратурой интересов гражданина или государства в суде состоит в осуществлении прокурорами от лица государства процессуальных и других действий, направленных на защиту в суде интересов гражданина или государства в случаях, предусмотренных законом.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iCs/>
          <w:color w:val="auto"/>
          <w:sz w:val="28"/>
          <w:szCs w:val="28"/>
        </w:rPr>
        <w:t xml:space="preserve">Основанием представительства в суде интересов гражданина является его невозможность из-за физического или материального состояния, преклонного возраста или из-за других уважительных причин самостоятельно защитить свои нарушенные или обжалованные права или реализовать процессуальные полномочия, а интересов государства </w:t>
      </w:r>
      <w:r w:rsidRPr="000440F8">
        <w:rPr>
          <w:color w:val="auto"/>
          <w:sz w:val="28"/>
          <w:szCs w:val="28"/>
        </w:rPr>
        <w:t xml:space="preserve">— </w:t>
      </w:r>
      <w:r w:rsidRPr="000440F8">
        <w:rPr>
          <w:iCs/>
          <w:color w:val="auto"/>
          <w:sz w:val="28"/>
          <w:szCs w:val="28"/>
        </w:rPr>
        <w:t>наличие нарушений или угрозы, нарушений экономических, политических и других государственных интересов вследствие противоправных действий (бездеятельности) физических или юридических лиц, которые совершаются в отношениях между ними или с государством.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iCs/>
          <w:color w:val="auto"/>
          <w:sz w:val="28"/>
          <w:szCs w:val="28"/>
        </w:rPr>
        <w:t>Формами представительства является: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iCs/>
          <w:color w:val="auto"/>
          <w:sz w:val="28"/>
          <w:szCs w:val="28"/>
        </w:rPr>
        <w:t>обращение в суд с исками или заявлениями о защите прав и свобод другой личности, неопределенного круга лиц, прав юридических лиц, когда поднимаются интересы государства, или о признании незаконными правовых актов,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iCs/>
          <w:color w:val="auto"/>
          <w:sz w:val="28"/>
          <w:szCs w:val="28"/>
        </w:rPr>
        <w:t>действий или решений органов и должностных лиц;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iCs/>
          <w:color w:val="auto"/>
          <w:sz w:val="28"/>
          <w:szCs w:val="28"/>
        </w:rPr>
        <w:t>участие в рассмотрении судами дел;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iCs/>
          <w:color w:val="auto"/>
          <w:sz w:val="28"/>
          <w:szCs w:val="28"/>
        </w:rPr>
        <w:t>внесение апелляционного, кассационного представления на судебные решения или заявления об их пересмотре по вновь открывшимся обстоятельствам.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iCs/>
          <w:color w:val="auto"/>
          <w:sz w:val="28"/>
          <w:szCs w:val="28"/>
        </w:rPr>
        <w:t>С целью решения вопроса наличия оснований для внесения кассационного представления в деле, рассмотренному без участия прокурора, прокурор имеет право знакомиться с материалами дела в суде, делать выписки из него, получать копии документов, которые находятся в деле.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iCs/>
          <w:color w:val="auto"/>
          <w:sz w:val="28"/>
          <w:szCs w:val="28"/>
        </w:rPr>
        <w:t>Прокурор самостоятельно определяет основания для представительства в судах, форму его осуществления и может осуществлять представительство в любой стадии судопроизводства в порядке, предусмотренном процессуальным законом.»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Из представленной статьи следует выделить следующее: прокурор имеет право защищать интересы государства и юридических лиц в суде, имеет право участвовать в рассмотрении дел, может осуществлять представительство в любой стадии судопроизводства. Ключевыми словами для нас в данный момент являются «имеет право» и «может». Иначе говоря, прокурора нельзя привлечь к рассмотрению дела в суде. Он осуществляет представительство, если сам сочтет это необходимым.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Таким образом, суд обязательно в таком ходатайстве откажет, а нам только этого и надо. Далее следует стандартная схема обжалования, изложенная выше.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После прохождения всех инстанций можно пытаться привлечь в качестве третьего лица различные министерства и ведомства.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</w:p>
    <w:p w:rsidR="00FC3E9E" w:rsidRPr="000440F8" w:rsidRDefault="00FC3E9E" w:rsidP="000440F8">
      <w:pPr>
        <w:pStyle w:val="a3"/>
      </w:pPr>
      <w:r w:rsidRPr="000440F8">
        <w:t>Если судья подготовлен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bCs/>
          <w:color w:val="auto"/>
          <w:sz w:val="28"/>
          <w:szCs w:val="28"/>
        </w:rPr>
      </w:pP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Стоит, правда, принимать во внимание случаи, когда судья видит ваше стремление затянуть процесс или «заинтересован» в скорейшем вынесении решения. Что он сможет предпринять в этом случае? Наиболее распространенным видом ответного действия является вынесение решения судом в том же заседании, когда и было заявлено ходатайство. В этом случае судья описывает заявление ходатайства и его отклонение в решении. К этому тоже стоит быть подготовленным.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Однако и на этот случай мы с коллегами изобрели противоядие. Вот реальный случай из практики. Предприятию, интересы которого мы защищали, не везло — дела, в которых надо было затянуть рассмотрение, попадали к одному и тому же судье. В очередном заседании, будучи тщательно подготовленными, мы заявляли одно ходатайство за другим, судья их отклонял и все уже явно шло к вынесению решения. В этот момент один представитель ответчика незаметно посылает вызов по мобильному телефону другому представителю, который стоит возле канцелярии суда с апелляционной жалобой на отказ в удовлетворении ходатайства (жалоба, как вы понимаете, была написана еще до судебного заседания), которую он сразу же и сдает. После вопроса судьи о том, имеются ли еще ходатайства или заявления, представитель ответчика просит суд сделать десятиминутный перерыв для проведения телефонных переговоров с руководством на предмет заключения мирового соглашения (копию апелляционной жалобы с отметкой канцелярии как-то же надо получить и предъявить судье). Судья и в этом ходатайстве отказывает. Тогда представитель ответчика просит сделать «технический» перерыв на пять минут и появляется в зале заседания уже с апелляционной жалобой.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</w:p>
    <w:p w:rsidR="00FC3E9E" w:rsidRPr="000440F8" w:rsidRDefault="00FC3E9E" w:rsidP="000440F8">
      <w:pPr>
        <w:pStyle w:val="a3"/>
      </w:pPr>
      <w:r w:rsidRPr="000440F8">
        <w:t>Затягивание гражданского процесса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Более сложным является затягивание гражданского процесса, но варианты все же существуют. Как и в хозяйственном процессе, в данном случае нужно «сделать необходимое определение», а потом его обжаловать.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Самый простой вариант, когда суд сам выносит определение, подлежащее обжалованию, но это бывает нечасто и от вас совсем не зависит. Лучше брать быка за рога и самому добиваться результата.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Одним из оптимальных вариантов является обжалование определения об отказе в обеспечении доказательств. Сложность применения этого способа заключается в том, что заявление об обеспечении доказательств рассматривается судом в судебном заседании на месте, причем заслушиваются позиции других сторон. То есть, заслушав ваше заявление и мнение других сторон, судья может сразу вынести определение об отказе в обеспечении доказательств и в этом же заседании постановить решение по сути спора. В таком случае будет уже поздно что-либо обжаловать и надеяться на затягивание процесса. Допуская такое развитие событий, нужно подготовить другие ходатайства или заявления, направленные на отложение рассмотрения дела. Отложив рассмотрение дела, можно подавать апелляционную жалобу на определение об отказе в обеспечении доказательств.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Как правило, определение об отказе в обеспечении доказательств выносится судьей без оформления отдельного процессуального документа, поскольку его содержание судье удобнее отразить в протоколе судебного заседания (так чаще всего и бывает). Значит, обжалуйте определение, занесенное в протокол судебного заседания.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Казалось бы, все складывается хорошо, но через некоторое время после подачи жалобы судья может своим письмом вам ее вернуть, отметив, что определение об отказе в обеспечении доказательств не подлежит апелляционному обжалованию и не препятствует дальнейшему производству по делу. Однако, проявив настойчивость, можно добиться от судьи вынесения соответствующего определения об отказе в принятии апелляционной жалобы и ее возвращении, а не удовлетвориться каким-то письмом. Вот вам еще одно определение, которое можно обжаловать в апелляционную инстанцию.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На практике зачастую происходит следующее: после получения двух жалоб вместе с материалами дела апелляционный суд, не открывая апелляционного производства, возвращает дело обратно в местный суд с соответствующим определением. В своем определении апелляционный суд отмечает, что апелляционное производство невозможно начать, потому что определения об отказе в обеспечении доказательств не подлежат обжалованию и не препятствуют дальнейшему производству по делу.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Итак, имея определение апелляционного суда, можно смело подавать на него кассационную жалобу, поскольку определения апелляционных судов подлежат обжалованию.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Вскоре после подачи кассационной жалобы судья может вынести определение о ее возврате по тем же основаниям. Теперь у вас есть третье определение, также подлежащее апелляционному обжалованию. В этом случае дело также направляется в апелляционный суд, который назначает рассмотрение апелляционной жалобы и принимает по ней соответствующее процессуальное решение. Если и это решение вас не устраивает, подавайте кассационную жалобу, и так до тех пор, пока дело не окажется в ВСУ, где и будет рассматриваться неопределенное количество времени.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Как следует из вышеуказанного, можно затянуть гражданский процесс, даже обжалуя определения, по мнению суда не подлежащие обжалованию. В то же время практика доказывает, что обжаловать определение, подлежащее обжалованию, так же сложно, как и определение, обжалованию не подлежащее. В результате имеем принцип, очень точно характеризующий нашу национальную систему законодательства: нельзя ничего, даже того, что разрешено. По крайней мере, благодаря некоторым судьям этот принцип до сих пор работает в гражданском процессе.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</w:p>
    <w:p w:rsidR="00FC3E9E" w:rsidRPr="000440F8" w:rsidRDefault="00FC3E9E" w:rsidP="000440F8">
      <w:pPr>
        <w:pStyle w:val="a3"/>
      </w:pPr>
      <w:r w:rsidRPr="000440F8">
        <w:t>По другую сторону баррикады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Рассмотрев варианты по затягиванию судебного процесса, необходимо также рассмотреть ситуацию, когда вам нужно как можно быстрее получить решение суда, а контрагент мало того, что не выполнял обязательства (иначе что вы делаете в суде?), так еще и всячески пытается затянуть процесс. В этом случае необходимо применять тактику форсирования процесса.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В представлении истца идеальное дело — это выигранное в первом же судебном заседании с минимумом процессуальных действий. Быстро выиграть можно только простое дело, в то время как сложное в процессуальном отношении дело может слушаться годами.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Следовательно, основной принцип планирования процессуального форсирования сводится к максимальному упрощению процессуальных характеристик дела. В то же время затягивание рассмотрения дела осуществляется путем провоцирования суда на совершение как можно большего количества процессуальных действий и насыщения дела процессуальными событиями. Упрощение процессуальных характеристик будущего дела предполагает моделирование разнообразных вероятных ситуаций и анализ их возможного воздействия на развитие дела.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В данной ситуации необходимо четко придерживаться следующих принципов: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 xml:space="preserve">1. Мотивировка иска должна быть исчерпывающей и по возможности простой. Формула иска не должна требовать от </w:t>
      </w:r>
      <w:r w:rsidR="000440F8" w:rsidRPr="000440F8">
        <w:rPr>
          <w:color w:val="auto"/>
          <w:sz w:val="28"/>
          <w:szCs w:val="28"/>
        </w:rPr>
        <w:t>судьи,</w:t>
      </w:r>
      <w:r w:rsidRPr="000440F8">
        <w:rPr>
          <w:color w:val="auto"/>
          <w:sz w:val="28"/>
          <w:szCs w:val="28"/>
        </w:rPr>
        <w:t xml:space="preserve"> каких бы то ни было значимых процессуальных действий, кроме принятия решения. Возможные пояснения других участников дела или представление ими доказательств не должны требовать изменения мотивировки иска и отложения рассмотрения дела;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2. Достаточность явки участников дела. Для обеспечения устойчивости решения важен факт привлечения к участию в деле всех заинтересованных лиц и присутствия участников дела в судебных заседаниях. В связи с этим формула форсируемого процесса должна предусматривать минимум неконтролируемых участников, с тем чтобы предотвратить отложение дела в связи с их неявкой. Формула процесса должна исключать также возможность обжалования в связи с непривлечением всех заинтересованных лиц;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3. Отсутствие в процессе внутренних потенций к усложнению и, как следствие, — к затягиванию. Тактика процессуальных диверсий направлена на то, чтобы вынудить суд совершать процессуальные действия, оформляемые определениями и не направленные на скорейшее разрешение дела.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Следовательно, чем меньше процессуальных действий должен совершить суд для разрешения спора, тем быстрее будет принято решение по существу. Главное средство затягивания рассмотрения дела — это обжалование определений суда. При этом наиболее уязвимым является определение об обеспечении иска. Можно сказать, что обеспечение иска само по себе является «приглашением» к затягиванию процесса.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Исходя из вышеизложенного, исковое заявление должно соответствовать следующим параметрам: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— все доказательства представляются истцом при подаче иска;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— дело не перегружено доказательственной базой, суд может исследовать все доказательства в одном, максимум — в двух заседаниях;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— необходимость допрашивать свидетелей отсутствует в принципе, тем более отсутствует необходимость вызывать свидетелей ответчика;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— отсутствует необходимость назначать судебную экспертизу;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— любые документы, которые ответчик может запросить суд истребовать у каких бы то ни было лиц, могут быть представлены истцом прямо в судебном заседании.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Каждое отложение рассмотрения дела, каждый перерыв в судебном заседании — маленькая победа ответчика, поэтому необходимо заранее подготовить исчерпывающую аргументацию и доказательственную базу против любых возможных ходатайств, направленных на затягивание процесса. Если известны методы работы представителя ответчика, следует заранее подготовить письменные возражения на возможные ходатайства.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В форсированном процессе все предпосылки для выигрыша дела создаются истцом еще до подачи иска на стадии планирования путем максимального упрощения процессуальных характеристик дела и бездействия суда на стадии реализации: между принятием иска к производству и принятием решения происходит минимум процессуальных событий.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В затяжном процессе, наоборот, отсутствие проигрыша дела достигается ответчиком максимальным усложнением процессуальных характеристик дела, провоцированием суда на совершение как можно большего количества процессуальных действий и насыщением дела процессуальными событиями.</w:t>
      </w:r>
    </w:p>
    <w:p w:rsidR="00FC3E9E" w:rsidRPr="000440F8" w:rsidRDefault="000440F8" w:rsidP="000440F8">
      <w:pPr>
        <w:pStyle w:val="a3"/>
      </w:pPr>
      <w:r>
        <w:br w:type="page"/>
      </w:r>
      <w:r w:rsidR="00FC3E9E" w:rsidRPr="000440F8">
        <w:t>Заключение</w:t>
      </w: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</w:p>
    <w:p w:rsidR="00FC3E9E" w:rsidRPr="000440F8" w:rsidRDefault="00FC3E9E" w:rsidP="000440F8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0440F8">
        <w:rPr>
          <w:color w:val="auto"/>
          <w:sz w:val="28"/>
          <w:szCs w:val="28"/>
        </w:rPr>
        <w:t>Поделившись способами затягивания хозяйственного и гражданского процесса, в заключение вспомним статью одного из юристов, которую довелось прочитать в Интернете. В данной статье автор утверждает, что за недобросовестное использование своих прав суд может оштрафовать сторону судебного процесса, и якобы такая мера воздействия даже применяется на практике. Такое утверждение считаем ошибочным и на практике неприменимым и, более того, создающим ошибочное мнение в правовой среде. Никто не может лишить вас права на обжалование действий судьи до тех пор, пока это позволяет законодательство. Так что, затягивайте, пока совесть позволяет. А тем, кто находится по другую сторону баррикад, желаем успехов в борьбе с затягиванием судебного процесса и быстрых разрешений споров.</w:t>
      </w:r>
    </w:p>
    <w:p w:rsidR="00FC3E9E" w:rsidRPr="000440F8" w:rsidRDefault="000440F8" w:rsidP="000440F8">
      <w:pPr>
        <w:pStyle w:val="a4"/>
        <w:spacing w:line="360" w:lineRule="auto"/>
        <w:ind w:firstLine="720"/>
        <w:jc w:val="center"/>
        <w:rPr>
          <w:b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br w:type="page"/>
      </w:r>
      <w:r w:rsidR="00FC3E9E" w:rsidRPr="000440F8">
        <w:rPr>
          <w:b/>
          <w:color w:val="auto"/>
          <w:sz w:val="28"/>
          <w:szCs w:val="28"/>
          <w:lang w:val="uk-UA"/>
        </w:rPr>
        <w:t>Литература</w:t>
      </w:r>
    </w:p>
    <w:p w:rsidR="000440F8" w:rsidRPr="000440F8" w:rsidRDefault="000440F8" w:rsidP="000440F8">
      <w:pPr>
        <w:pStyle w:val="a4"/>
        <w:spacing w:line="360" w:lineRule="auto"/>
        <w:ind w:firstLine="720"/>
        <w:rPr>
          <w:color w:val="auto"/>
          <w:sz w:val="28"/>
          <w:szCs w:val="28"/>
          <w:lang w:val="uk-UA"/>
        </w:rPr>
      </w:pPr>
    </w:p>
    <w:p w:rsidR="00FC3E9E" w:rsidRPr="000440F8" w:rsidRDefault="00FC3E9E" w:rsidP="000440F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40F8">
        <w:rPr>
          <w:sz w:val="28"/>
          <w:szCs w:val="28"/>
        </w:rPr>
        <w:t>Гражданский кодекс Украины</w:t>
      </w:r>
    </w:p>
    <w:p w:rsidR="00FC3E9E" w:rsidRPr="000440F8" w:rsidRDefault="00FC3E9E" w:rsidP="000440F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40F8">
        <w:rPr>
          <w:sz w:val="28"/>
          <w:szCs w:val="28"/>
        </w:rPr>
        <w:t>Хозяйственный кодекс Украины</w:t>
      </w:r>
    </w:p>
    <w:p w:rsidR="00FC3E9E" w:rsidRPr="000440F8" w:rsidRDefault="00FC3E9E" w:rsidP="000440F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40F8">
        <w:rPr>
          <w:sz w:val="28"/>
          <w:szCs w:val="28"/>
        </w:rPr>
        <w:t>Проблеми науки гражданского процесуального права / В. В. Комаров, В. А. Бигун, В. В. Баранкова; Под ред. проф. В. В. Комарова. — X.: Право, 2002.</w:t>
      </w:r>
    </w:p>
    <w:p w:rsidR="000440F8" w:rsidRPr="000440F8" w:rsidRDefault="00FC3E9E" w:rsidP="000440F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40F8">
        <w:rPr>
          <w:sz w:val="28"/>
          <w:szCs w:val="28"/>
        </w:rPr>
        <w:t>Нешатаева Т. Н. Международное частное право и международный гражданский процесс: Учебный курс в трех частях. — М.: ОАО «Издательский дом «Городец», 2004. — С. 501.</w:t>
      </w:r>
      <w:bookmarkStart w:id="0" w:name="_GoBack"/>
      <w:bookmarkEnd w:id="0"/>
    </w:p>
    <w:sectPr w:rsidR="000440F8" w:rsidRPr="000440F8" w:rsidSect="000440F8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2413F"/>
    <w:multiLevelType w:val="hybridMultilevel"/>
    <w:tmpl w:val="B9AED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printColBlack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E9E"/>
    <w:rsid w:val="000440F8"/>
    <w:rsid w:val="00513A72"/>
    <w:rsid w:val="009067E9"/>
    <w:rsid w:val="00D16CAA"/>
    <w:rsid w:val="00F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AFE632-2874-4CBC-847A-3190CF33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567"/>
    </w:pPr>
    <w:rPr>
      <w:rFonts w:ascii="Times New Roman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нРазделОбыч"/>
    <w:basedOn w:val="a4"/>
    <w:autoRedefine/>
    <w:rsid w:val="000440F8"/>
    <w:pPr>
      <w:spacing w:line="360" w:lineRule="auto"/>
      <w:ind w:firstLine="720"/>
      <w:jc w:val="center"/>
    </w:pPr>
    <w:rPr>
      <w:b/>
      <w:sz w:val="28"/>
      <w:szCs w:val="28"/>
    </w:rPr>
  </w:style>
  <w:style w:type="paragraph" w:customStyle="1" w:styleId="a4">
    <w:name w:val="ДинТекстОбыч"/>
    <w:basedOn w:val="a"/>
    <w:pPr>
      <w:jc w:val="both"/>
    </w:pPr>
    <w:rPr>
      <w:color w:val="000000"/>
    </w:rPr>
  </w:style>
  <w:style w:type="paragraph" w:customStyle="1" w:styleId="a5">
    <w:name w:val="ДинШапкаТаблМелк"/>
    <w:basedOn w:val="a"/>
    <w:pPr>
      <w:ind w:firstLine="0"/>
      <w:jc w:val="center"/>
    </w:pPr>
    <w:rPr>
      <w:sz w:val="18"/>
    </w:rPr>
  </w:style>
  <w:style w:type="paragraph" w:customStyle="1" w:styleId="a6">
    <w:name w:val="Динай моно"/>
    <w:basedOn w:val="a"/>
    <w:rPr>
      <w:rFonts w:ascii="Courier New" w:hAnsi="Courier New"/>
      <w:sz w:val="18"/>
    </w:rPr>
  </w:style>
  <w:style w:type="paragraph" w:customStyle="1" w:styleId="a7">
    <w:name w:val="ДинТекстНов"/>
    <w:basedOn w:val="a4"/>
    <w:rPr>
      <w:color w:val="FF0000"/>
    </w:rPr>
  </w:style>
  <w:style w:type="paragraph" w:customStyle="1" w:styleId="a8">
    <w:name w:val="ДинТекстСтар"/>
    <w:basedOn w:val="a4"/>
    <w:rPr>
      <w:color w:val="008000"/>
    </w:rPr>
  </w:style>
  <w:style w:type="paragraph" w:customStyle="1" w:styleId="a9">
    <w:name w:val="ДинШапкаКомм"/>
    <w:basedOn w:val="a4"/>
    <w:autoRedefine/>
    <w:pPr>
      <w:ind w:firstLine="0"/>
      <w:jc w:val="center"/>
    </w:pPr>
    <w:rPr>
      <w:i/>
      <w:color w:val="808080"/>
    </w:rPr>
  </w:style>
  <w:style w:type="paragraph" w:customStyle="1" w:styleId="aa">
    <w:name w:val="ДинТекстКомм"/>
    <w:basedOn w:val="a4"/>
    <w:rPr>
      <w:i/>
      <w:color w:val="808080"/>
    </w:rPr>
  </w:style>
  <w:style w:type="paragraph" w:customStyle="1" w:styleId="ab">
    <w:name w:val="ДинШапкаНазв"/>
    <w:basedOn w:val="a4"/>
    <w:autoRedefine/>
    <w:rsid w:val="000440F8"/>
    <w:pPr>
      <w:spacing w:line="360" w:lineRule="auto"/>
      <w:ind w:firstLine="720"/>
      <w:jc w:val="center"/>
    </w:pPr>
    <w:rPr>
      <w:b/>
      <w:sz w:val="28"/>
      <w:szCs w:val="28"/>
    </w:rPr>
  </w:style>
  <w:style w:type="paragraph" w:customStyle="1" w:styleId="ac">
    <w:name w:val="ДинШапкаРеквиз"/>
    <w:basedOn w:val="a4"/>
    <w:autoRedefine/>
    <w:pPr>
      <w:ind w:firstLine="0"/>
      <w:jc w:val="center"/>
    </w:pPr>
  </w:style>
  <w:style w:type="paragraph" w:customStyle="1" w:styleId="ad">
    <w:name w:val="ДинРазделНов"/>
    <w:basedOn w:val="a"/>
    <w:autoRedefine/>
    <w:pPr>
      <w:ind w:firstLine="0"/>
      <w:jc w:val="center"/>
    </w:pPr>
    <w:rPr>
      <w:b/>
      <w:color w:val="FF0000"/>
    </w:rPr>
  </w:style>
  <w:style w:type="paragraph" w:customStyle="1" w:styleId="ae">
    <w:name w:val="ДинРазделСтар"/>
    <w:basedOn w:val="a3"/>
    <w:autoRedefine/>
    <w:rPr>
      <w:color w:val="008000"/>
    </w:rPr>
  </w:style>
  <w:style w:type="paragraph" w:customStyle="1" w:styleId="af">
    <w:name w:val="ДинСтатьяОбыч"/>
    <w:basedOn w:val="a4"/>
    <w:autoRedefine/>
    <w:pPr>
      <w:ind w:left="567" w:firstLine="0"/>
      <w:jc w:val="left"/>
    </w:pPr>
    <w:rPr>
      <w:b/>
    </w:rPr>
  </w:style>
  <w:style w:type="paragraph" w:customStyle="1" w:styleId="af0">
    <w:name w:val="ДинСтатьяСтар"/>
    <w:basedOn w:val="af"/>
    <w:rPr>
      <w:color w:val="008000"/>
    </w:rPr>
  </w:style>
  <w:style w:type="paragraph" w:customStyle="1" w:styleId="af1">
    <w:name w:val="ДинСтатьяНов"/>
    <w:basedOn w:val="af"/>
    <w:autoRedefine/>
    <w:rPr>
      <w:color w:val="FF0000"/>
    </w:rPr>
  </w:style>
  <w:style w:type="paragraph" w:customStyle="1" w:styleId="af2">
    <w:name w:val="ДинПодписьНов"/>
    <w:basedOn w:val="af3"/>
    <w:autoRedefine/>
    <w:rPr>
      <w:color w:val="FF0000"/>
    </w:rPr>
  </w:style>
  <w:style w:type="paragraph" w:customStyle="1" w:styleId="af3">
    <w:name w:val="ДинПодписьОбыч"/>
    <w:basedOn w:val="a4"/>
    <w:autoRedefine/>
    <w:pPr>
      <w:jc w:val="right"/>
    </w:pPr>
  </w:style>
  <w:style w:type="paragraph" w:customStyle="1" w:styleId="af4">
    <w:name w:val="ДинПодписьСтар"/>
    <w:basedOn w:val="af3"/>
    <w:rPr>
      <w:color w:val="008000"/>
    </w:rPr>
  </w:style>
  <w:style w:type="paragraph" w:customStyle="1" w:styleId="af5">
    <w:name w:val="ДинТекстТаблМелк"/>
    <w:basedOn w:val="a"/>
    <w:autoRedefine/>
    <w:pPr>
      <w:ind w:firstLine="0"/>
    </w:pPr>
    <w:rPr>
      <w:sz w:val="18"/>
    </w:rPr>
  </w:style>
  <w:style w:type="paragraph" w:customStyle="1" w:styleId="af6">
    <w:name w:val="ДинТекстТаблМелкСтар"/>
    <w:basedOn w:val="af5"/>
    <w:autoRedefine/>
    <w:rPr>
      <w:color w:val="008000"/>
    </w:rPr>
  </w:style>
  <w:style w:type="paragraph" w:customStyle="1" w:styleId="af7">
    <w:name w:val="ДинТекстТаблМелкНов"/>
    <w:basedOn w:val="af5"/>
    <w:autoRedefine/>
    <w:rPr>
      <w:color w:val="FF0000"/>
    </w:rPr>
  </w:style>
  <w:style w:type="paragraph" w:customStyle="1" w:styleId="af8">
    <w:name w:val="ДинШапкаТаблМелкНов"/>
    <w:basedOn w:val="a5"/>
    <w:autoRedefine/>
    <w:rPr>
      <w:color w:val="FF0000"/>
    </w:rPr>
  </w:style>
  <w:style w:type="paragraph" w:customStyle="1" w:styleId="af9">
    <w:name w:val="ДинШапкаТаблМелкСтар"/>
    <w:basedOn w:val="a5"/>
    <w:autoRedefine/>
    <w:rPr>
      <w:color w:val="008000"/>
    </w:rPr>
  </w:style>
  <w:style w:type="paragraph" w:customStyle="1" w:styleId="afa">
    <w:name w:val="ДинТекстТабл"/>
    <w:basedOn w:val="a"/>
    <w:pPr>
      <w:ind w:firstLine="0"/>
    </w:pPr>
    <w:rPr>
      <w:lang w:val="en-US"/>
    </w:rPr>
  </w:style>
  <w:style w:type="paragraph" w:customStyle="1" w:styleId="afb">
    <w:name w:val="ДинТекстТаблНов"/>
    <w:basedOn w:val="afa"/>
    <w:rPr>
      <w:color w:val="FF0000"/>
    </w:rPr>
  </w:style>
  <w:style w:type="paragraph" w:customStyle="1" w:styleId="afc">
    <w:name w:val="ДинТекстТаблСтар"/>
    <w:basedOn w:val="afa"/>
    <w:rPr>
      <w:color w:val="008000"/>
    </w:rPr>
  </w:style>
  <w:style w:type="paragraph" w:customStyle="1" w:styleId="afd">
    <w:name w:val="ДинЦентрТабл"/>
    <w:basedOn w:val="afa"/>
    <w:pPr>
      <w:jc w:val="center"/>
    </w:pPr>
  </w:style>
  <w:style w:type="paragraph" w:customStyle="1" w:styleId="afe">
    <w:name w:val="ДинЦентрТаблСтар"/>
    <w:basedOn w:val="a8"/>
    <w:pPr>
      <w:ind w:firstLine="0"/>
      <w:jc w:val="center"/>
    </w:pPr>
    <w:rPr>
      <w:lang w:val="uk-UA"/>
    </w:rPr>
  </w:style>
  <w:style w:type="paragraph" w:customStyle="1" w:styleId="aff">
    <w:name w:val="ДинЦентрТаблНов"/>
    <w:basedOn w:val="afb"/>
    <w:pPr>
      <w:jc w:val="center"/>
    </w:pPr>
  </w:style>
  <w:style w:type="paragraph" w:customStyle="1" w:styleId="aff0">
    <w:name w:val="Раздел"/>
    <w:basedOn w:val="a"/>
    <w:pPr>
      <w:pBdr>
        <w:bottom w:val="double" w:sz="6" w:space="1" w:color="auto"/>
      </w:pBdr>
      <w:ind w:firstLine="0"/>
    </w:pPr>
    <w:rPr>
      <w:b/>
    </w:rPr>
  </w:style>
  <w:style w:type="character" w:styleId="aff1">
    <w:name w:val="Hyperlink"/>
    <w:uiPriority w:val="99"/>
    <w:rsid w:val="00FC3E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ЗАТЯГИВАНИЕ ХОЗЯЙСТВЕННОГО И ГРАЖДАНСКОГО ПРОЦЕССА</vt:lpstr>
    </vt:vector>
  </TitlesOfParts>
  <Company>Dinai</Company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ЗАТЯГИВАНИЕ ХОЗЯЙСТВЕННОГО И ГРАЖДАНСКОГО ПРОЦЕССА</dc:title>
  <dc:subject/>
  <dc:creator>Customer</dc:creator>
  <cp:keywords/>
  <dc:description/>
  <cp:lastModifiedBy>admin</cp:lastModifiedBy>
  <cp:revision>2</cp:revision>
  <dcterms:created xsi:type="dcterms:W3CDTF">2014-03-06T04:57:00Z</dcterms:created>
  <dcterms:modified xsi:type="dcterms:W3CDTF">2014-03-06T04:57:00Z</dcterms:modified>
</cp:coreProperties>
</file>