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FD" w:rsidRDefault="00E33DFD">
      <w:pPr>
        <w:spacing w:line="360" w:lineRule="auto"/>
        <w:rPr>
          <w:b/>
          <w:sz w:val="28"/>
        </w:rPr>
      </w:pPr>
      <w:r>
        <w:rPr>
          <w:b/>
          <w:sz w:val="28"/>
        </w:rPr>
        <w:t>Глава №1: Значение нефтяной промышленности в экономике страны.</w:t>
      </w:r>
    </w:p>
    <w:p w:rsidR="00E33DFD" w:rsidRDefault="00E33DFD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Нефтяная промышленность России в последние годы переживает глубокий спад. Добыча нефти и газового конденсата сократилась по сравнению с 1990 г. более чем на 40%. При этом отрасль продолжает обеспечивать как внутренние потребности страны, так и экспорт. Несмотря на современное кризисное состояние нефтяной промышленности Россия остается одним из крупнейших в мире производителей, потребителей и экспортеров нефти и продолжает сохранять важные позиции на мировом рынке, занимая третье место в мире по добыче нефти. </w:t>
      </w:r>
    </w:p>
    <w:p w:rsidR="00E33DFD" w:rsidRDefault="00E33DFD">
      <w:pPr>
        <w:spacing w:line="360" w:lineRule="auto"/>
        <w:rPr>
          <w:sz w:val="28"/>
        </w:rPr>
      </w:pPr>
      <w:r>
        <w:rPr>
          <w:sz w:val="28"/>
        </w:rPr>
        <w:tab/>
        <w:t xml:space="preserve">В настоящее время такой вид топлива, как нефть, имеет уникальное и огромное значение. Нефтяная промышленность — это крупный народнохозяйственный комплекс, который живет и развивается по своим закономерностям. Нефть — наше национальное богатство, источник могущества страны, фундамент ее экономики.  </w:t>
      </w:r>
    </w:p>
    <w:p w:rsidR="00E33DFD" w:rsidRDefault="00E33DFD">
      <w:pPr>
        <w:spacing w:line="360" w:lineRule="auto"/>
        <w:rPr>
          <w:sz w:val="28"/>
        </w:rPr>
      </w:pPr>
      <w:r>
        <w:rPr>
          <w:sz w:val="28"/>
        </w:rPr>
        <w:tab/>
        <w:t>Значение нефти в народном хозяйстве велико: это сырье для нефтехимии в производстве синтетического каучука, спиртов, полиэтилена, широкой гаммы различных пластмасс и готовых изделий из них, искусственных тканей; источник для выработки моторных топлив (бензина, керосина, дизельного и реактивных топлив), масел и смазок, а также котельного печного топлива (мазут), строительных</w:t>
      </w:r>
    </w:p>
    <w:p w:rsidR="00E33DFD" w:rsidRDefault="00E33DFD">
      <w:pPr>
        <w:spacing w:line="360" w:lineRule="auto"/>
        <w:rPr>
          <w:sz w:val="28"/>
        </w:rPr>
      </w:pPr>
      <w:r>
        <w:rPr>
          <w:sz w:val="28"/>
        </w:rPr>
        <w:t>материалов (битумы, гудрон, асфальт); сырье для получения ряда белковых препаратов, используемых  в качестве  добавок в корм скоту для стимуляции  его роста.</w:t>
      </w:r>
    </w:p>
    <w:p w:rsidR="00E33DFD" w:rsidRDefault="00E33DFD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Россия — единственная среди крупных промышленно развитых  стран мира, которая не только полностью обеспечена нефтью, но и в значительной мере экспортирует топливо. Велика ее доля в мировом балансе топливно-энергетических ресурсов, например по разведанным запасам нефти — около 10%.</w:t>
      </w:r>
    </w:p>
    <w:p w:rsidR="00E33DFD" w:rsidRDefault="00E33DFD">
      <w:pPr>
        <w:spacing w:line="360" w:lineRule="auto"/>
        <w:rPr>
          <w:sz w:val="28"/>
        </w:rPr>
      </w:pPr>
      <w:r>
        <w:rPr>
          <w:sz w:val="28"/>
        </w:rPr>
        <w:tab/>
        <w:t>Для России, как и для большинства стран-экспортеров, нефть — один из важнейших источников валютных поступлений. Удельный вес экспорта нефти и нефтепродуктов в общей валютной выручке страны составляет приблизительно 27%. Роль нефтяного комплекса России как источника бюджетных поступлений постоянно растет. На экспорт поставляются 2/5 добываемой в стране нефти и 1/3 от производимых нефтепродуктов. На долю крупных нефтяных компаний приходится около 80% добычи нефти в стране, а доля экспорта в 1998 г. возросла до 34.1%. В 1998 г. по сравнению с 1997 г. доля экспорта совместных предприятий сократилась с 57.2 до 48.7%.</w:t>
      </w:r>
    </w:p>
    <w:p w:rsidR="00E33DFD" w:rsidRDefault="00E33DFD">
      <w:pPr>
        <w:spacing w:line="360" w:lineRule="auto"/>
        <w:rPr>
          <w:sz w:val="28"/>
        </w:rPr>
      </w:pPr>
      <w:r>
        <w:rPr>
          <w:sz w:val="28"/>
        </w:rPr>
        <w:tab/>
        <w:t>Если в 1994 г. Комплекс обеспечивал около 6% бюджетных поступлений, то в 1995 г. Бюджетная доля комплекса возросла до 13%, в 1996г. — до 16%, в 1997 — 1998гг. — до 22%. Нефтяная промышленность в 1997г. обеспечила 25% валютных поступлений страны. При этом добыча нефти , (с газовым конденсатом) соответственно составляла в 1994г. — 318 млн. т. , в 1996г. — 301 млн. т. , в 1997г. — 306 млн. т. . В 1998г. ожидается добыча нефти на уровне 290 — 296 млн. т. .</w:t>
      </w:r>
    </w:p>
    <w:p w:rsidR="00E33DFD" w:rsidRDefault="00E33DFD">
      <w:pPr>
        <w:spacing w:line="360" w:lineRule="auto"/>
        <w:rPr>
          <w:sz w:val="28"/>
        </w:rPr>
      </w:pPr>
      <w:r>
        <w:rPr>
          <w:sz w:val="28"/>
        </w:rPr>
        <w:tab/>
        <w:t>Таким образом бюджетный вклад нефтяного комплекса за  четыре года вырос в 3.5 раза, в то время как добыча нефти не только не увеличилась, но и сократилась более чем на 5% . Это значит, что последние пять лет характеризуются постоянным  существенным, даже многократным ростом налоговой нагрузки на нефтяной комплекс. Здесь важно сделать главный вывод — за пять лет из нефтяного комплекса выжито все , что можно, и больше, чем нужно.</w:t>
      </w:r>
    </w:p>
    <w:p w:rsidR="00E33DFD" w:rsidRDefault="00E33DFD">
      <w:pPr>
        <w:spacing w:line="360" w:lineRule="auto"/>
        <w:rPr>
          <w:b/>
          <w:sz w:val="28"/>
        </w:rPr>
      </w:pPr>
      <w:r>
        <w:rPr>
          <w:b/>
          <w:sz w:val="28"/>
        </w:rPr>
        <w:t>Глава №2:Особенности и факторы размещения нефтяной промышленности. Сырьевые базы некоторых экономических районов.</w:t>
      </w:r>
    </w:p>
    <w:p w:rsidR="00E33DFD" w:rsidRDefault="00E33DFD">
      <w:pPr>
        <w:spacing w:line="360" w:lineRule="auto"/>
        <w:rPr>
          <w:sz w:val="28"/>
        </w:rPr>
      </w:pPr>
      <w:r>
        <w:rPr>
          <w:sz w:val="28"/>
        </w:rPr>
        <w:tab/>
        <w:t>Россия относится к немногим странам мира, имеющим возможность в течение длительного времени развивать крупномасштабную нефтяную промышленность, полностью ориентируясь на собственные природные ресурсы . Хотя из ее недр уже извлечено свыше 14 млрд. т. нефти, Россия и сегодня находится в числе крупнейших производителей и экспортеров нефти. Нефтяной потенциал России реализован менее чем наполовину и сохраняются значительные резервы для обеспечения долгосрочных потребностей промышленности. В России в 1990 г. добыча нефти составила 516 млн. т., в 1996 г. — 301 млн. т.. (</w:t>
      </w:r>
      <w:r>
        <w:rPr>
          <w:b/>
          <w:sz w:val="28"/>
        </w:rPr>
        <w:t>См. Приложение №2)</w:t>
      </w:r>
      <w:r>
        <w:rPr>
          <w:sz w:val="28"/>
        </w:rPr>
        <w:t xml:space="preserve">  </w:t>
      </w:r>
    </w:p>
    <w:p w:rsidR="00E33DFD" w:rsidRDefault="00E33DFD">
      <w:pPr>
        <w:spacing w:line="360" w:lineRule="auto"/>
        <w:rPr>
          <w:sz w:val="28"/>
        </w:rPr>
      </w:pPr>
      <w:r>
        <w:rPr>
          <w:sz w:val="28"/>
        </w:rPr>
        <w:tab/>
        <w:t xml:space="preserve">Ниже кратко рассмотрим основные характеристики сырьевой базой нефтяной промышленности субъектов Российской Федерации.  В силу специфики геологических условий каждая из этих территорий имеет индивидуальную направленность геологоразведочных работ  и сопутствующие технико-экономические проблемы. </w:t>
      </w:r>
    </w:p>
    <w:p w:rsidR="00E33DFD" w:rsidRDefault="00E33DFD">
      <w:pPr>
        <w:spacing w:line="360" w:lineRule="auto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А) Западная Сибирь: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Крупнейший нефтеносный и нефтедобывающий район России включая территорию Тюменской, Томской, Новосибирской и Омской областей, Ханты-Мансийского и Ямало-Ненецкого автономных округов , а также прилегающий шельф Карского моря. Добыча нефти ведется с 1964 г., когда почти одновременно были введены в разработку Трехозерное, Мегионское и Усть-Балыкское месторождения.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Важнейшая особенность сырьевой базы нефти Западной Сибири заключается в исключительно благоприятной структуре разведанных запасов. Главный фактор — высокая концентрация запасов в крупных и крупнейших месторождениях (Самотлорском, Федоровском и др.).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Ханты-Мансийский автономный округ — богатейший нефтяной регион Западной Сибири и России в целом, он производит 2/3 добываемой в стране нефти и имеет развитую инфраструктуру. В его пределах открыто 273 месторождения нефти, из которых 120 введено в разработку. Важнейшую роль в сырьевой базе играют крупнейшие (9) и крупные (77) месторождения, в которых заключено 90% разведанных запасов нефти. В результате многолетней интенсивной обработки многие из этих месторождений, в том числе крупнейшее в стране Самотлорское , в значительной степени выработаны и обводнены на 80-90%.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Ямало-Ненецкий автономный округ также характеризуется крупнейшими запасами и ресурсами нефти, но по сравнению с Ханты-Мансийским автономным округом структура последнего сложнее, так как преобладающую роль имеет нефть высокой плотности и вязкости (Русское, Северо-Комсомольское, Тазовское, Западно-Мессояховское месторождения).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Томская область образует третий по значению центр нефтедобывающей промышленности Западной Сибири, обладающий развитой сырьевой базой и нефтяной инфраструктурой. В разработку вовлечено 18 из 84 нефтяных месторождений, в том числе все крупные (Советское, Первомайское, Лугинецкое, Игольско-Талое). Средняя выработанность начальных запасов открытых месторождений составляет 30%, а перечисленных крупных месторождений 17-58%. Неразведанные ресурсы нефти в Томской области превышают согласно геологическому прогнозу уже разведанные запасы в 1.8 раза, что создает возможность многолетней сырьевой обеспеченности нефтедобывающих предприятий.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Остальные административно-территориальные субъекты Западной Сибири (юг Тюменской, а также Новосибирская и Омская области) играют незначительную роль в региональном балансе запасов и добычи нефти Западной Сибири. В трех областях открыто 16 небольших месторождений, из которых только три  — Кальчинское в Тюменской области, Прирахтовское в Омской и Малоичское в Новосибирской областях — находятся в промышленной или опытной разработке. Геологические перспективы развития сырьевой базы в целом незначительны.</w:t>
      </w:r>
    </w:p>
    <w:p w:rsidR="00E33DFD" w:rsidRDefault="00E33DFD">
      <w:pPr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Б) Уральский и Поволжский районы: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Эти районы, объединяющие ряд республик и областей Приуралья, Среднего и Нижнего Поволжья, составляют второй по значению (после Западной Сибири) крупнейший нефтедобывающий центр России, известный как Урало-Поволжье или второе Баку.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Для Урало-Поволжья характерно наличие большой группы крупнейших нефтяных месторождений, включая Ромашкинское, Арланское, Туймазинское, Мухановское, Шкаповское, Кулешовское, Батырбайское и др.. В течение длительного времени, начиная с 40-50-х гг., они интенсивно отрабатываются с высокой эффективностью.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Республики Татарстан и Башкортостан являются центрами нефтяной промышленности Урала-Поволжья, на долю которых приходится 65% добычи нефти. Для обеспечения республик характерны высокая степень освоения месторождений и общий остаточный характер сохраняющихся запасов и ресурсов.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В Татарстане в разработку вовлечено 87% разведочных запасов при средней выработанности открытых месторождений на 67%, в том числе по крупнейшим: Ромашкинскому, Ново-Елховскому и Бавлинскому — на 73-85%. Уже длительное время подготовка запасов нефти осуществляется за счет мелких месторождений и нефти ухудшенного качества. Неразведанные ресурсы нефти в Татарстане оцениваются в 500 млн. т., некоторые перспективы связываются с малоизученными западными ее районами.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В Башкортостане разрабатываются 146 из 158 открытых месторождений, включающих 98.4% разведанных запасов нефти. Средняя выработанность начальных запасов месторождений составляет 78%, в том числе по крупнейшим: Арланскому, Туймазинскому и Шкаповскому — 79-95%. Неразведанные запасы нефти в республике оцениваются в 385 млн. т..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Самарская область — одна из наиболее забуренных глубокими скважинами частей Урало-Поволжья. К 1995 г. объем буровых работ здесь достиг 9.2 млн. т., что составляет в среднем 172 т/км перспективной территории. При такой изученности потенциал нефтеносности Самарской области реализован почти на 80%, сохраняя лишь перспективы небольших открытий. В разработку вовлечены 101 из 145 месторождений, в них заключено 92.7% разведанных запасов нефти. 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Пермская и Оренбургская области также относятся к «старым» нефтедобывающим районам Урало-Поволжья, но отличаются от рассмотренных выше более благоприятными показателями сырьевой базы. Прежде всего это относится к Оренбургской области, где запасы открытых месторождений превышают существующий уровень добычи нефти почти в 60 раз, а перспективные и прогнозные ресурсы нефти наиболее значительны в Урало-Поволжье.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К настоящему времени в Оренбургской области открыто 178 нефтяных месторождений, из которых 82 разрабатываются; доля последних в объеме текущих запасов нефти 75%. Выработанность начальных запасов открытых месторождений составляет 37%, по отдельным месторождениям она достигает 73% (Бобровское) и 68% (Покровское). В то же время наиболее крупные в области залежи нефти нефтяной оторочке Оренбургского газоконденсатного месторождения (запасы 85 млн. т.) находится только в начальной стадии освоения, хотя имеет высокую конкурентоспособность по отношению к другим нефтяным месторождениям Оренбургской области.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В Пермской области открыто 163 нефтяных месторождения, из которых 98 разрабатываются. Большая группа месторождений (4) находится в длительной консервации по экономическим причинам. В разрабатываемых месторождениях сосредоточено 92% разведанных запасов. Средняя по области выработанность запасов составляет 50%, в том числе по основным месторождениям: Ярино-Каменоложскому —90%, Павловскому — 37%, Батырбайскому —58%, Осинскому —52%.   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Перечень основных нефтедобывающих центров Урало-Поволжья завершает Республика Удмуртия, которая стала осваиваться значительно позже всех рассмотренных выше, вследствие чего выработанность запасов открытых нефтяных месторождений является наименьшей (30%). Разрабатываются 23 из 67 месторождений, в том числе все крупные (Чутырско-Киенгопское, Мишкинское и Ельниковское). Относительно низкий темп освоения запасов нефти в республике во многом объясняется сложностью структуры запасов, где преобладает тяжелая нефть (83%).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Остальные районы играют резко подчиненную роль в запасах (5%) и добыче (3%) нефти Урало-Поволжья, что связано с отсутствием крупных высококачественных месторождений. Так, в Ульяновской области открыто 41 нефтяное месторождение, но их общий запас составляют лишь 31 млн. т., причем они представлены тяжелой и высоковязкой нефтью.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Для Саратовской и Волгоградской областей характерны трудности «старых» районов, обусловленные физическим исчерпанием основных запасов. В Саратовской области в разработку вовлечено 92% разведанных запасов, в Волгоградской области — 94%. Выработанность начальных запасов открытых месторождений составляет соответственно 62 и 78%, в том числе по наиболее крупным: Соколовогорскому, Коробковскому, Жирновскому и Бахметьевскому — от 90 до 97%.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Обособленное положение в Поволжском районе занимает Республика Калмыкия, которая принадлежит нескольким нефтегазоносным провинциям: Волго-Уральской, Прикаспийской, Северокавказской, Днепровско-Припятской. За годы проведения геологоразведочных работ (с 1951 г.) в Республике открыто 28 и разрабатывается 20 нефтяных месторождений, но объемы подготовленных запасов и добычи нефти небольшие.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b/>
          <w:sz w:val="28"/>
        </w:rPr>
        <w:t>В) Европейский Север: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Включает территорию Республики Коми, Архангельской области и Ненецкого автономного округа, а также прилегающий шельф Баренцева моря. Площадь нефтегазоносной и перспективной территории составляет 331.8 тыс. км.. Пик добычи был достигнут в 1983 г. (19.2 млн. т.), в 1994 г. она составила 9.7млн. т.. 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Северный район в основном соответствует Тимано-Печорской нефтегазоносной провинции, которая представляет собой обширную область на северо-востоке Европейской части России. Ее площадь составляет около 350 тыс. км</w:t>
      </w:r>
      <w:r>
        <w:rPr>
          <w:sz w:val="28"/>
          <w:vertAlign w:val="superscript"/>
        </w:rPr>
        <w:t>2</w:t>
      </w:r>
      <w:r>
        <w:rPr>
          <w:sz w:val="28"/>
        </w:rPr>
        <w:t>. В географическом плане Тимано-Печорский бассейн имеет форму треугольника: на востоке его ограничивают горы Урала — Пай-Хоя, на юго-западе — Тиманская гряда, на севере он сочленяется с Южно-Баренцевской впадиной.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Сухопутная часть Тимано-Печорской провинции расположена в Республике Коми и Ненецком автономном округе (НАО). Месторождения, находящиеся в Коми, достаточно разведаны, наиболее изученные из них разрабатываются АО «Коми ТЭК». Шельфовая зона Тимано-Печоры изучена в меньшей степени. На долю Ненецкого АО сегодня приходится 52.7% начальных суммарных ресурсов этой нефтяной провинции. Успешное развитие нефтегазопоисковых работ в данном районе вывело Тимано-Печору на третье место по запасам нефти в России после Западно-Сибирского и Волго-Уральского бассейнов.        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Имеются значительные различия в состоянии сырьевой базы нефтяной промышленности Республики Коми, Архангельской области и Ненецкого автономного округа.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Республика Коми характеризуется многолетней историей поисков, разведки и разработки нефтяных месторождений. К 1995 г. здесь открыты 82 нефтяных месторождения, из которых 31 разрабатывается. Открытые месторождения выработаны в среднем на 41%, в том числе крупнейшие (Устинское и Возейское) на 61% и 64% соответственно.  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Наиболее «старый» нефтедобывающий район (Ухтинский) находится на юге Республики Коми. Основные месторождения (Ярегское, Западно-Тэбукское, Пашинское), первое из них является единственным в России, где применяется шахтный способ разработки тяжелой нефти.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Главный на сегодня нефтедобывающий район сформировался на базе Усинского, Возейского и ряда смежных месторождений севера Республики Коми, которые отличаются наибольшим разнообразием геологического строения. 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>В резерве нефтедобывающих предприятий Республики Коми находится ряд достаточно крупных нефтяных месторождений: Сандивейское (20.5 млн. т.), Среднемакринское (20.2 млн. т.), Южно-Лыжское (15 млн. т.) и др.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  Ненецкий автономный округ характеризуется существенно меньшей степенью промышленного освоения. Из 73 нефтяных месторождений разрабатываются лишь два (Хярьягинское и Ардалинское) при 15 подготовленных к разработке и 55 разведываемых. За время разработки (с 1988 г.) из этих двух  месторождений добыто 9 млн. т..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С сырьевой базой Европейского Севера тесно связаны проблемы разведки и освоения нефти в прибрежной части Баренцева моря. Здесь открыты крупное Приразломное и среднее по запасам Северо-Гуляевское месторождение, которые по положению в разрезе и структурным особенностям близки к месторождениям, открытым на суше.  </w:t>
      </w:r>
    </w:p>
    <w:p w:rsidR="00E33DFD" w:rsidRDefault="00E33DFD">
      <w:pPr>
        <w:spacing w:line="360" w:lineRule="auto"/>
        <w:ind w:firstLine="720"/>
        <w:rPr>
          <w:sz w:val="28"/>
        </w:rPr>
      </w:pPr>
    </w:p>
    <w:p w:rsidR="00E33DFD" w:rsidRDefault="00E33DFD">
      <w:pPr>
        <w:spacing w:line="360" w:lineRule="auto"/>
        <w:ind w:firstLine="720"/>
        <w:rPr>
          <w:sz w:val="28"/>
        </w:rPr>
      </w:pPr>
    </w:p>
    <w:p w:rsidR="00E33DFD" w:rsidRDefault="00E33DFD">
      <w:pPr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Глава №3 : Переработка и транспортировка нефти в России.</w:t>
      </w:r>
    </w:p>
    <w:p w:rsidR="00E33DFD" w:rsidRDefault="00E33DFD">
      <w:pPr>
        <w:pStyle w:val="a3"/>
        <w:spacing w:line="360" w:lineRule="auto"/>
        <w:rPr>
          <w:sz w:val="28"/>
        </w:rPr>
      </w:pPr>
      <w:r>
        <w:rPr>
          <w:b/>
          <w:sz w:val="28"/>
        </w:rPr>
        <w:t>Нефтепереработка.</w:t>
      </w:r>
    </w:p>
    <w:p w:rsidR="00E33DFD" w:rsidRDefault="00E33DFD">
      <w:pPr>
        <w:pStyle w:val="a3"/>
        <w:spacing w:line="360" w:lineRule="auto"/>
        <w:rPr>
          <w:sz w:val="28"/>
        </w:rPr>
      </w:pPr>
      <w:r>
        <w:rPr>
          <w:sz w:val="28"/>
        </w:rPr>
        <w:t>Мировой энергетический баланс 20 века.</w:t>
      </w:r>
    </w:p>
    <w:tbl>
      <w:tblPr>
        <w:tblW w:w="0" w:type="auto"/>
        <w:tblInd w:w="-108" w:type="dxa"/>
        <w:tblLayout w:type="fixed"/>
        <w:tblLook w:val="00A0" w:firstRow="1" w:lastRow="0" w:firstColumn="1" w:lastColumn="0" w:noHBand="0" w:noVBand="0"/>
      </w:tblPr>
      <w:tblGrid>
        <w:gridCol w:w="1731"/>
        <w:gridCol w:w="906"/>
        <w:gridCol w:w="906"/>
        <w:gridCol w:w="906"/>
      </w:tblGrid>
      <w:tr w:rsidR="00E33DFD">
        <w:tc>
          <w:tcPr>
            <w:tcW w:w="1731" w:type="dxa"/>
            <w:tcBorders>
              <w:top w:val="single" w:sz="12" w:space="0" w:color="808080"/>
              <w:bottom w:val="single" w:sz="6" w:space="0" w:color="808080"/>
            </w:tcBorders>
          </w:tcPr>
          <w:p w:rsidR="00E33DFD" w:rsidRDefault="00E33DFD">
            <w:pPr>
              <w:pStyle w:val="a3"/>
              <w:spacing w:line="360" w:lineRule="auto"/>
              <w:rPr>
                <w:sz w:val="28"/>
              </w:rPr>
            </w:pPr>
          </w:p>
        </w:tc>
        <w:tc>
          <w:tcPr>
            <w:tcW w:w="906" w:type="dxa"/>
            <w:tcBorders>
              <w:top w:val="single" w:sz="12" w:space="0" w:color="808080"/>
              <w:bottom w:val="single" w:sz="6" w:space="0" w:color="808080"/>
            </w:tcBorders>
          </w:tcPr>
          <w:p w:rsidR="00E33DFD" w:rsidRDefault="00E33DFD">
            <w:pPr>
              <w:pStyle w:val="a3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906" w:type="dxa"/>
            <w:tcBorders>
              <w:top w:val="single" w:sz="12" w:space="0" w:color="808080"/>
              <w:bottom w:val="single" w:sz="6" w:space="0" w:color="808080"/>
            </w:tcBorders>
          </w:tcPr>
          <w:p w:rsidR="00E33DFD" w:rsidRDefault="00E33DFD">
            <w:pPr>
              <w:pStyle w:val="a3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1950</w:t>
            </w:r>
          </w:p>
        </w:tc>
        <w:tc>
          <w:tcPr>
            <w:tcW w:w="906" w:type="dxa"/>
            <w:tcBorders>
              <w:top w:val="single" w:sz="12" w:space="0" w:color="808080"/>
              <w:bottom w:val="single" w:sz="6" w:space="0" w:color="808080"/>
            </w:tcBorders>
          </w:tcPr>
          <w:p w:rsidR="00E33DFD" w:rsidRDefault="00E33DFD">
            <w:pPr>
              <w:pStyle w:val="a3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1996</w:t>
            </w:r>
          </w:p>
        </w:tc>
      </w:tr>
      <w:tr w:rsidR="00E33DFD">
        <w:tc>
          <w:tcPr>
            <w:tcW w:w="1731" w:type="dxa"/>
          </w:tcPr>
          <w:p w:rsidR="00E33DFD" w:rsidRDefault="00E33DFD">
            <w:pPr>
              <w:pStyle w:val="a3"/>
              <w:spacing w:line="360" w:lineRule="auto"/>
            </w:pPr>
            <w:r>
              <w:t>Гидроэнергия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1.7%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6.5%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2.7%</w:t>
            </w:r>
          </w:p>
        </w:tc>
      </w:tr>
      <w:tr w:rsidR="00E33DFD">
        <w:tc>
          <w:tcPr>
            <w:tcW w:w="1731" w:type="dxa"/>
          </w:tcPr>
          <w:p w:rsidR="00E33DFD" w:rsidRDefault="00E33DFD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НЕФТЬ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3.0%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23.8%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39.5%</w:t>
            </w:r>
          </w:p>
        </w:tc>
      </w:tr>
      <w:tr w:rsidR="00E33DFD">
        <w:tc>
          <w:tcPr>
            <w:tcW w:w="1731" w:type="dxa"/>
          </w:tcPr>
          <w:p w:rsidR="00E33DFD" w:rsidRDefault="00E33DFD">
            <w:pPr>
              <w:pStyle w:val="a3"/>
              <w:spacing w:line="360" w:lineRule="auto"/>
            </w:pPr>
            <w:r>
              <w:t>Газ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0.9%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9.0%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22.8%</w:t>
            </w:r>
          </w:p>
        </w:tc>
      </w:tr>
      <w:tr w:rsidR="00E33DFD">
        <w:tc>
          <w:tcPr>
            <w:tcW w:w="1731" w:type="dxa"/>
          </w:tcPr>
          <w:p w:rsidR="00E33DFD" w:rsidRDefault="00E33DFD">
            <w:pPr>
              <w:pStyle w:val="a3"/>
              <w:spacing w:line="360" w:lineRule="auto"/>
            </w:pPr>
            <w:r>
              <w:t>Дрова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17.6%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5.9%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--------</w:t>
            </w:r>
          </w:p>
        </w:tc>
      </w:tr>
      <w:tr w:rsidR="00E33DFD">
        <w:tc>
          <w:tcPr>
            <w:tcW w:w="1731" w:type="dxa"/>
          </w:tcPr>
          <w:p w:rsidR="00E33DFD" w:rsidRDefault="00E33DFD">
            <w:pPr>
              <w:pStyle w:val="a3"/>
              <w:spacing w:line="360" w:lineRule="auto"/>
            </w:pPr>
            <w:r>
              <w:t>Торф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0.7%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0.6%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--------</w:t>
            </w:r>
          </w:p>
        </w:tc>
      </w:tr>
      <w:tr w:rsidR="00E33DFD">
        <w:tc>
          <w:tcPr>
            <w:tcW w:w="1731" w:type="dxa"/>
          </w:tcPr>
          <w:p w:rsidR="00E33DFD" w:rsidRDefault="00E33DFD">
            <w:pPr>
              <w:pStyle w:val="a3"/>
              <w:spacing w:line="360" w:lineRule="auto"/>
            </w:pPr>
            <w:r>
              <w:t>Уголь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76.1%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54.2%</w:t>
            </w:r>
          </w:p>
        </w:tc>
        <w:tc>
          <w:tcPr>
            <w:tcW w:w="906" w:type="dxa"/>
          </w:tcPr>
          <w:p w:rsidR="00E33DFD" w:rsidRDefault="00E33DFD">
            <w:pPr>
              <w:pStyle w:val="a3"/>
              <w:spacing w:line="360" w:lineRule="auto"/>
            </w:pPr>
            <w:r>
              <w:t>28.1%</w:t>
            </w:r>
          </w:p>
        </w:tc>
      </w:tr>
      <w:tr w:rsidR="00E33DFD">
        <w:tc>
          <w:tcPr>
            <w:tcW w:w="1731" w:type="dxa"/>
            <w:tcBorders>
              <w:bottom w:val="single" w:sz="12" w:space="0" w:color="808080"/>
            </w:tcBorders>
          </w:tcPr>
          <w:p w:rsidR="00E33DFD" w:rsidRDefault="00E33DFD">
            <w:pPr>
              <w:pStyle w:val="a3"/>
              <w:spacing w:line="360" w:lineRule="auto"/>
            </w:pPr>
            <w:r>
              <w:t>Ядерная энергия</w:t>
            </w:r>
          </w:p>
        </w:tc>
        <w:tc>
          <w:tcPr>
            <w:tcW w:w="906" w:type="dxa"/>
            <w:tcBorders>
              <w:bottom w:val="single" w:sz="12" w:space="0" w:color="808080"/>
            </w:tcBorders>
          </w:tcPr>
          <w:p w:rsidR="00E33DFD" w:rsidRDefault="00E33DFD">
            <w:pPr>
              <w:pStyle w:val="a3"/>
              <w:spacing w:line="360" w:lineRule="auto"/>
            </w:pPr>
            <w:r>
              <w:t>--------</w:t>
            </w:r>
          </w:p>
        </w:tc>
        <w:tc>
          <w:tcPr>
            <w:tcW w:w="906" w:type="dxa"/>
            <w:tcBorders>
              <w:bottom w:val="single" w:sz="12" w:space="0" w:color="808080"/>
            </w:tcBorders>
          </w:tcPr>
          <w:p w:rsidR="00E33DFD" w:rsidRDefault="00E33DFD">
            <w:pPr>
              <w:pStyle w:val="a3"/>
              <w:spacing w:line="360" w:lineRule="auto"/>
            </w:pPr>
            <w:r>
              <w:t>--------</w:t>
            </w:r>
          </w:p>
        </w:tc>
        <w:tc>
          <w:tcPr>
            <w:tcW w:w="906" w:type="dxa"/>
            <w:tcBorders>
              <w:bottom w:val="single" w:sz="12" w:space="0" w:color="808080"/>
            </w:tcBorders>
          </w:tcPr>
          <w:p w:rsidR="00E33DFD" w:rsidRDefault="00E33DFD">
            <w:pPr>
              <w:pStyle w:val="a3"/>
              <w:spacing w:line="360" w:lineRule="auto"/>
            </w:pPr>
            <w:r>
              <w:t>6.9%</w:t>
            </w:r>
          </w:p>
        </w:tc>
      </w:tr>
    </w:tbl>
    <w:p w:rsidR="00E33DFD" w:rsidRDefault="00E33DF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Размещение основных запасов нефти РФ не совпадает с размещением населения, производством и потреблением топлива и энергии. Около 9/10 запасов минерального топлива (в том числе нефти) и свыше 4/5 гидроэнергии находится в восточных районах, тогда как примерно 4/5 общего количества топлива и энергии потребляется в европейской части страны.</w:t>
      </w:r>
    </w:p>
    <w:p w:rsidR="00E33DFD" w:rsidRDefault="00E33DFD">
      <w:pPr>
        <w:pStyle w:val="a3"/>
        <w:spacing w:line="360" w:lineRule="auto"/>
        <w:rPr>
          <w:sz w:val="28"/>
        </w:rPr>
      </w:pPr>
      <w:r>
        <w:rPr>
          <w:sz w:val="28"/>
        </w:rPr>
        <w:t>Размещение нефтеперерабатывающей промышленности зависит от размеров потребления, техники переработки и транспортировки нефти, территориальных соотношений между ресурсами и объемами потребления жидкого топлива. В настоящее время переработка приблизилась к районам потребления. Она ведется вдоль трасс нефтепроводов, а также в пунктах с выгодным транспортно-географическим положением ( Хабаровск). НПЗ ориентированы на потребителя. НПЗ есть во всех экономических районах РФ, кроме Ц-ЧЭР. ЦЭР - Москва, Рязань, Ярославль; СЭР - Ухта ( Респ. Коми); С-ЗЭР - Кириши (Ленинградская обл.); ПЭР - Самара (м.д.), Новокуйбышевск (м.д.), Сызрань, Саратов, Волгоград, Нижнекамск ( Татария); В-ВЭР - Кстово (Нижегородская обл.), Нижний Новгород; С-КЭР - Грозный (м.д.), Туапсе, Краснодар; УЭР - Уфа (м.д.), Ишимбай (м.д.), Салават (м.д.), Пермь (м.д.), Краснокамск (м.д.), Орск ; З-СЭР - Омск; В-СЭР - Ачинск (н.ц.), Ангарск; ДВЭР - Хабаровск, Комсомольск-на-Амуре</w:t>
      </w:r>
      <w:r>
        <w:rPr>
          <w:rStyle w:val="a5"/>
          <w:sz w:val="28"/>
        </w:rPr>
        <w:footnoteReference w:id="1"/>
      </w:r>
      <w:r>
        <w:rPr>
          <w:sz w:val="28"/>
        </w:rPr>
        <w:t>. Размещение НПЗ иллюстрирует таблица.</w:t>
      </w:r>
    </w:p>
    <w:p w:rsidR="00E33DFD" w:rsidRDefault="00E33DFD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Переработка нефти по некоторым регионам РФ в 1993г., млн.т</w:t>
      </w:r>
    </w:p>
    <w:tbl>
      <w:tblPr>
        <w:tblW w:w="0" w:type="auto"/>
        <w:tblInd w:w="-108" w:type="dxa"/>
        <w:tblLayout w:type="fixed"/>
        <w:tblLook w:val="00A0" w:firstRow="1" w:lastRow="0" w:firstColumn="1" w:lastColumn="0" w:noHBand="0" w:noVBand="0"/>
      </w:tblPr>
      <w:tblGrid>
        <w:gridCol w:w="2016"/>
        <w:gridCol w:w="726"/>
      </w:tblGrid>
      <w:tr w:rsidR="00E33DFD">
        <w:tc>
          <w:tcPr>
            <w:tcW w:w="2016" w:type="dxa"/>
            <w:tcBorders>
              <w:top w:val="single" w:sz="12" w:space="0" w:color="808080"/>
              <w:bottom w:val="single" w:sz="6" w:space="0" w:color="808080"/>
            </w:tcBorders>
          </w:tcPr>
          <w:p w:rsidR="00E33DFD" w:rsidRDefault="00E33DFD">
            <w:pPr>
              <w:pStyle w:val="a3"/>
              <w:spacing w:line="360" w:lineRule="auto"/>
            </w:pPr>
            <w:r>
              <w:t>РОССИЯ, всего</w:t>
            </w:r>
          </w:p>
        </w:tc>
        <w:tc>
          <w:tcPr>
            <w:tcW w:w="726" w:type="dxa"/>
            <w:tcBorders>
              <w:top w:val="single" w:sz="12" w:space="0" w:color="808080"/>
              <w:bottom w:val="single" w:sz="6" w:space="0" w:color="808080"/>
            </w:tcBorders>
          </w:tcPr>
          <w:p w:rsidR="00E33DFD" w:rsidRDefault="00E33DFD">
            <w:pPr>
              <w:pStyle w:val="a3"/>
              <w:spacing w:line="360" w:lineRule="auto"/>
            </w:pPr>
            <w:r>
              <w:t>217.7</w:t>
            </w:r>
          </w:p>
        </w:tc>
      </w:tr>
      <w:tr w:rsidR="00E33DFD">
        <w:tc>
          <w:tcPr>
            <w:tcW w:w="2016" w:type="dxa"/>
          </w:tcPr>
          <w:p w:rsidR="00E33DFD" w:rsidRDefault="00E33DFD">
            <w:pPr>
              <w:pStyle w:val="a3"/>
              <w:spacing w:line="360" w:lineRule="auto"/>
            </w:pPr>
            <w:r>
              <w:t>Башкирия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</w:pPr>
            <w:r>
              <w:t>30.1</w:t>
            </w:r>
          </w:p>
        </w:tc>
      </w:tr>
      <w:tr w:rsidR="00E33DFD">
        <w:tc>
          <w:tcPr>
            <w:tcW w:w="2016" w:type="dxa"/>
          </w:tcPr>
          <w:p w:rsidR="00E33DFD" w:rsidRDefault="00E33DFD">
            <w:pPr>
              <w:pStyle w:val="a3"/>
              <w:spacing w:line="360" w:lineRule="auto"/>
            </w:pPr>
            <w:r>
              <w:t>Самарская обл.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</w:pPr>
            <w:r>
              <w:t>21.0</w:t>
            </w:r>
          </w:p>
        </w:tc>
      </w:tr>
      <w:tr w:rsidR="00E33DFD">
        <w:tc>
          <w:tcPr>
            <w:tcW w:w="2016" w:type="dxa"/>
          </w:tcPr>
          <w:p w:rsidR="00E33DFD" w:rsidRDefault="00E33DFD">
            <w:pPr>
              <w:pStyle w:val="a3"/>
              <w:spacing w:line="360" w:lineRule="auto"/>
            </w:pPr>
            <w:r>
              <w:t>Нижегородская обл.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</w:pPr>
            <w:r>
              <w:t>19.4</w:t>
            </w:r>
          </w:p>
        </w:tc>
      </w:tr>
      <w:tr w:rsidR="00E33DFD">
        <w:tc>
          <w:tcPr>
            <w:tcW w:w="2016" w:type="dxa"/>
          </w:tcPr>
          <w:p w:rsidR="00E33DFD" w:rsidRDefault="00E33DFD">
            <w:pPr>
              <w:pStyle w:val="a3"/>
              <w:spacing w:line="360" w:lineRule="auto"/>
            </w:pPr>
            <w:r>
              <w:t>Омская обл.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</w:pPr>
            <w:r>
              <w:t>19.2</w:t>
            </w:r>
          </w:p>
        </w:tc>
      </w:tr>
      <w:tr w:rsidR="00E33DFD">
        <w:tc>
          <w:tcPr>
            <w:tcW w:w="2016" w:type="dxa"/>
          </w:tcPr>
          <w:p w:rsidR="00E33DFD" w:rsidRDefault="00E33DFD">
            <w:pPr>
              <w:pStyle w:val="a3"/>
              <w:spacing w:line="360" w:lineRule="auto"/>
            </w:pPr>
            <w:r>
              <w:t>Иркутская обл.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</w:pPr>
            <w:r>
              <w:t>17.5</w:t>
            </w:r>
          </w:p>
        </w:tc>
      </w:tr>
      <w:tr w:rsidR="00E33DFD">
        <w:tc>
          <w:tcPr>
            <w:tcW w:w="2016" w:type="dxa"/>
          </w:tcPr>
          <w:p w:rsidR="00E33DFD" w:rsidRDefault="00E33DFD">
            <w:pPr>
              <w:pStyle w:val="a3"/>
              <w:spacing w:line="360" w:lineRule="auto"/>
            </w:pPr>
            <w:r>
              <w:t>Ленинградская обл.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</w:pPr>
            <w:r>
              <w:t>15.0</w:t>
            </w:r>
          </w:p>
        </w:tc>
      </w:tr>
      <w:tr w:rsidR="00E33DFD">
        <w:tc>
          <w:tcPr>
            <w:tcW w:w="2016" w:type="dxa"/>
          </w:tcPr>
          <w:p w:rsidR="00E33DFD" w:rsidRDefault="00E33DFD">
            <w:pPr>
              <w:pStyle w:val="a3"/>
              <w:spacing w:line="360" w:lineRule="auto"/>
            </w:pPr>
            <w:r>
              <w:t>Рязанская обл.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</w:pPr>
            <w:r>
              <w:t>13.2</w:t>
            </w:r>
          </w:p>
        </w:tc>
      </w:tr>
      <w:tr w:rsidR="00E33DFD">
        <w:tc>
          <w:tcPr>
            <w:tcW w:w="2016" w:type="dxa"/>
          </w:tcPr>
          <w:p w:rsidR="00E33DFD" w:rsidRDefault="00E33DFD">
            <w:pPr>
              <w:pStyle w:val="a3"/>
              <w:spacing w:line="360" w:lineRule="auto"/>
            </w:pPr>
            <w:r>
              <w:t>Ярославская обл.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</w:pPr>
            <w:r>
              <w:t>12.1</w:t>
            </w:r>
          </w:p>
        </w:tc>
      </w:tr>
      <w:tr w:rsidR="00E33DFD">
        <w:tc>
          <w:tcPr>
            <w:tcW w:w="2016" w:type="dxa"/>
          </w:tcPr>
          <w:p w:rsidR="00E33DFD" w:rsidRDefault="00E33DFD">
            <w:pPr>
              <w:pStyle w:val="a3"/>
              <w:spacing w:line="360" w:lineRule="auto"/>
            </w:pPr>
            <w:r>
              <w:t>Москва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</w:pPr>
            <w:r>
              <w:t>9.0</w:t>
            </w:r>
          </w:p>
        </w:tc>
      </w:tr>
      <w:tr w:rsidR="00E33DFD">
        <w:tc>
          <w:tcPr>
            <w:tcW w:w="2016" w:type="dxa"/>
            <w:tcBorders>
              <w:bottom w:val="single" w:sz="12" w:space="0" w:color="808080"/>
            </w:tcBorders>
          </w:tcPr>
          <w:p w:rsidR="00E33DFD" w:rsidRDefault="00E33DFD">
            <w:pPr>
              <w:pStyle w:val="a3"/>
              <w:spacing w:line="360" w:lineRule="auto"/>
            </w:pPr>
            <w:r>
              <w:t>Хабаровский край</w:t>
            </w:r>
          </w:p>
        </w:tc>
        <w:tc>
          <w:tcPr>
            <w:tcW w:w="726" w:type="dxa"/>
            <w:tcBorders>
              <w:bottom w:val="single" w:sz="12" w:space="0" w:color="808080"/>
            </w:tcBorders>
          </w:tcPr>
          <w:p w:rsidR="00E33DFD" w:rsidRDefault="00E33DFD">
            <w:pPr>
              <w:pStyle w:val="a3"/>
              <w:spacing w:line="360" w:lineRule="auto"/>
            </w:pPr>
            <w:r>
              <w:t>7.7</w:t>
            </w:r>
          </w:p>
        </w:tc>
      </w:tr>
    </w:tbl>
    <w:p w:rsidR="00E33DFD" w:rsidRDefault="00E33DFD">
      <w:pPr>
        <w:pStyle w:val="a3"/>
        <w:spacing w:line="360" w:lineRule="auto"/>
        <w:rPr>
          <w:sz w:val="28"/>
        </w:rPr>
      </w:pPr>
      <w:r>
        <w:rPr>
          <w:sz w:val="28"/>
        </w:rPr>
        <w:t>Экономически более выгодно приближение нефтеперерабатывающей промышленности к местам потребления:</w:t>
      </w:r>
    </w:p>
    <w:p w:rsidR="00E33DFD" w:rsidRDefault="00E33DFD">
      <w:pPr>
        <w:spacing w:line="360" w:lineRule="auto"/>
        <w:ind w:left="283" w:hanging="283"/>
        <w:rPr>
          <w:b/>
          <w:sz w:val="28"/>
        </w:rPr>
      </w:pPr>
      <w:r>
        <w:rPr>
          <w:sz w:val="28"/>
        </w:rPr>
        <w:t>сокращаются перевозки мазута, масел и других вязких нефтепродуктов</w:t>
      </w:r>
    </w:p>
    <w:p w:rsidR="00E33DFD" w:rsidRDefault="00E33DFD">
      <w:pPr>
        <w:pStyle w:val="a3"/>
        <w:spacing w:line="360" w:lineRule="auto"/>
        <w:ind w:left="283" w:hanging="283"/>
        <w:rPr>
          <w:sz w:val="28"/>
        </w:rPr>
      </w:pPr>
      <w:r>
        <w:rPr>
          <w:sz w:val="28"/>
        </w:rPr>
        <w:t>транспортировка сырой нефти экономичнее, чем транспортировка ее производных;</w:t>
      </w:r>
    </w:p>
    <w:p w:rsidR="00E33DFD" w:rsidRDefault="00E33DFD">
      <w:pPr>
        <w:pStyle w:val="a3"/>
        <w:spacing w:line="360" w:lineRule="auto"/>
        <w:ind w:left="283" w:hanging="283"/>
        <w:rPr>
          <w:sz w:val="28"/>
        </w:rPr>
      </w:pPr>
      <w:r>
        <w:rPr>
          <w:sz w:val="28"/>
        </w:rPr>
        <w:t xml:space="preserve">размещение нефтеперерабатывающих производств становится повсеместным. </w:t>
      </w:r>
    </w:p>
    <w:p w:rsidR="00E33DFD" w:rsidRDefault="00E33DFD">
      <w:pPr>
        <w:pStyle w:val="a3"/>
        <w:spacing w:line="360" w:lineRule="auto"/>
        <w:rPr>
          <w:sz w:val="28"/>
        </w:rPr>
      </w:pPr>
      <w:r>
        <w:rPr>
          <w:sz w:val="28"/>
        </w:rPr>
        <w:t>Развитие нефтяной, а также нефтеперерабатывающей промышленности обусловливается целесообразностью использования нефти в основном для производства моторных топлив и химического сырья. Как энергетическое сырье более эффективным является природный газ, так как эквивалентное количество его вдвое дешевле нефти.</w:t>
      </w:r>
    </w:p>
    <w:p w:rsidR="00E33DFD" w:rsidRDefault="00E33DFD">
      <w:pPr>
        <w:pStyle w:val="a3"/>
        <w:spacing w:line="360" w:lineRule="auto"/>
        <w:rPr>
          <w:sz w:val="28"/>
        </w:rPr>
      </w:pPr>
      <w:r>
        <w:rPr>
          <w:sz w:val="28"/>
        </w:rPr>
        <w:t>Размещение отраслей и производств нефтехимической промышленности находится под совокупным влиянием различных факторов, среди которых наибольшую роль играют сырьевой, топливно- энергетический и потребительский.</w:t>
      </w:r>
    </w:p>
    <w:p w:rsidR="00E33DFD" w:rsidRDefault="00E33DFD">
      <w:pPr>
        <w:pStyle w:val="a3"/>
        <w:spacing w:line="360" w:lineRule="auto"/>
        <w:rPr>
          <w:b/>
          <w:sz w:val="28"/>
        </w:rPr>
      </w:pPr>
      <w:r>
        <w:rPr>
          <w:b/>
          <w:sz w:val="28"/>
        </w:rPr>
        <w:t xml:space="preserve">Промышленность полимерных материалов. </w:t>
      </w:r>
    </w:p>
    <w:p w:rsidR="00E33DFD" w:rsidRDefault="00E33DFD">
      <w:pPr>
        <w:pStyle w:val="a3"/>
        <w:spacing w:line="360" w:lineRule="auto"/>
        <w:rPr>
          <w:sz w:val="28"/>
        </w:rPr>
      </w:pPr>
      <w:r>
        <w:rPr>
          <w:b/>
          <w:sz w:val="28"/>
        </w:rPr>
        <w:t>Органический синтез</w:t>
      </w:r>
      <w:r>
        <w:rPr>
          <w:sz w:val="28"/>
        </w:rPr>
        <w:t xml:space="preserve"> опирается на мощную и распространенную сырьевую базу, что позволяет развивать производство практически в любом экономическом районе. На первый план вышло нефтегазовое сырье, из которого производится почти весь синтетический каучук, преобладающая часть пластических масс и значительное количество волокон. Ресурсы этого сырья представлены: попутными нефтяными газами, природными газами и углеводородами нефтепереработки. Сфера производства синтетических материалов территориально заметно расширилась, охватив не только места добычи нефти и газа ( Волго-Уральский, Северо-Кавказский, Бакинский районы), но и районы, получившие связь с источниками сырья в результате создания сети нефтепроводов (Центральный, Донецко-Приднепровский и др.)</w:t>
      </w:r>
    </w:p>
    <w:p w:rsidR="00E33DFD" w:rsidRDefault="00E33DFD">
      <w:pPr>
        <w:pStyle w:val="a3"/>
        <w:spacing w:line="360" w:lineRule="auto"/>
        <w:rPr>
          <w:sz w:val="28"/>
        </w:rPr>
      </w:pPr>
      <w:r>
        <w:rPr>
          <w:b/>
          <w:sz w:val="28"/>
        </w:rPr>
        <w:t>Промышленность синтетических смол и пластических масс</w:t>
      </w:r>
      <w:r>
        <w:rPr>
          <w:sz w:val="28"/>
        </w:rPr>
        <w:t xml:space="preserve"> основана на попутных нефтяных газах и углеводородах нефтепереработки. Изначально эта отрасль базировалась на угле и возникла в  ЦЭР. В настоящее время производство развито в Поволжье (Новокуйбышевск, Казань, Волгоград), Донецко-Приднепровском районе (Лисичанск, Горловка), на Урале, в З-СЭР, Закавказье (Рустави), Белоруссии, В-ВЭР и С-ЗЭР. Производство синтетических смол и пластмасс на 4/5 сосредоточено в европейской части.</w:t>
      </w:r>
    </w:p>
    <w:p w:rsidR="00E33DFD" w:rsidRDefault="00E33DFD">
      <w:pPr>
        <w:pStyle w:val="a3"/>
        <w:spacing w:line="360" w:lineRule="auto"/>
        <w:rPr>
          <w:sz w:val="28"/>
        </w:rPr>
      </w:pPr>
      <w:r>
        <w:rPr>
          <w:b/>
          <w:sz w:val="28"/>
        </w:rPr>
        <w:t>Промышленность синтетического каучука (</w:t>
      </w:r>
      <w:r>
        <w:rPr>
          <w:sz w:val="28"/>
        </w:rPr>
        <w:t>Поволжье, Урал, Закавказье, Западная Сибирь).</w:t>
      </w:r>
    </w:p>
    <w:p w:rsidR="00E33DFD" w:rsidRDefault="00E33DFD">
      <w:pPr>
        <w:pStyle w:val="a3"/>
        <w:spacing w:line="360" w:lineRule="auto"/>
        <w:rPr>
          <w:sz w:val="28"/>
        </w:rPr>
      </w:pPr>
      <w:r>
        <w:rPr>
          <w:sz w:val="28"/>
        </w:rPr>
        <w:t>Разнообразие сырья обусловливает несколько вариантов размещения производства. Попутные газы с их низкой транспортабельностью должны перерабатываться вблизи места добычи. Использование углеводородов нефтепереработки еще больше связывает производство с источниками сырья, но в то же время и расширяет ареал его размещения, так как переработка нефти отличается подвижностью. В развитии производства синтетического каучука определилась тенденция к созданию комплексов предприятий: нефтепереработка - синтетический каучук - сажевое и кордное производство -- шинное производство (Омск, Ярославль, Сумгаит).</w:t>
      </w:r>
    </w:p>
    <w:p w:rsidR="00E33DFD" w:rsidRDefault="00E33DFD">
      <w:pPr>
        <w:pStyle w:val="a3"/>
        <w:spacing w:line="360" w:lineRule="auto"/>
        <w:rPr>
          <w:b/>
          <w:sz w:val="28"/>
        </w:rPr>
      </w:pPr>
      <w:r>
        <w:rPr>
          <w:sz w:val="28"/>
        </w:rPr>
        <w:t xml:space="preserve">Крупнейшие районы производства - Поволжский, Уральский, Центральный, Центрально-Черноземный. В перспективе возрастает значение восточных районов, особенно Западной Сибири. В России находится 28 НПЗ. Они могут перерабатывать более 310 млн. т. нефти в год. Наибольшие мощности по переработке нефти сосредоточены в Уральском экономическом районе, где находятся 7 НПЗ: в Уфе (3), Салавате, Ишимбае, Орске, Перми, способные переработать 75 млн. т. нефти в год. Поволжский район имеет мощности по переработке 58 млн. т. нефти в год на НПЗ, расположенных в Самаре, Новокуйбышевске, Сызрани, Саратове, Волгограде, Нижнекамске. В Центральном районе имеются 4 НПЗ: в Москве, Рязани, Ярославле, Тутаево — общей мощностью 45 млн. т. в год; в Восточно-Сибирском  районе находятся 2 НПЗ (Ангарск, Ачинск) мощностью 30 млн. т.; 2 НПЗ общей мощностью 26 млн. т. — находятся в Северном и Северо-западном  районах (Ухта и Кириши); такой же объем перерабатывает Омский НПЗ в Западно-Сибирском районе. Остальные НПЗ расположены в следующих экономических районах: Волго-Вятском — Кстовский (мощностью 21 млн. т.), Северо-Кавказском — в Грозном (2 НПЗ): Краснодаре, Туапсе (общая мощность 22 млн. т.), Дальневосточном — в Хабаровске, Комсомольске (общая мощность 10 млн. т.). </w:t>
      </w:r>
      <w:r>
        <w:rPr>
          <w:b/>
          <w:sz w:val="28"/>
        </w:rPr>
        <w:t>См. Приложение№1.</w:t>
      </w:r>
    </w:p>
    <w:p w:rsidR="00E33DFD" w:rsidRDefault="00E33DFD">
      <w:pPr>
        <w:pStyle w:val="a3"/>
        <w:spacing w:line="360" w:lineRule="auto"/>
        <w:ind w:firstLine="720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Экспорт нефти</w:t>
      </w:r>
      <w:r>
        <w:rPr>
          <w:sz w:val="28"/>
        </w:rPr>
        <w:t xml:space="preserve"> играет важнейшую роль в развитии экономики России, а в недалеком прошлом во многом определял возможности экономического развития бывшего Советского Союза. Экспорт топлива способствует формированию единого энергетического пространства на европейском континенте. Проблема энергообеспечения приобрела глобальный характер, и эффективное ее решение невозможно без широкого международного сотрудничества, без усиления интеграционных процессов в Европе и мировом сообществе в целом. Общеевропейское сотрудничество в энергетике позволит радикально ускорить переход всей российской экономики к рынку. </w:t>
      </w:r>
    </w:p>
    <w:p w:rsidR="00E33DFD" w:rsidRDefault="00E33DFD">
      <w:pPr>
        <w:pStyle w:val="a3"/>
        <w:spacing w:line="360" w:lineRule="auto"/>
        <w:ind w:firstLine="720"/>
        <w:rPr>
          <w:sz w:val="28"/>
        </w:rPr>
      </w:pPr>
      <w:r>
        <w:rPr>
          <w:sz w:val="28"/>
        </w:rPr>
        <w:t xml:space="preserve">В Южную Европу западносибирская нефть поставляется через Средиземноморские порты танкерами из Новороссийска, Туапсе, Одессы, куда приходит по трубопроводам из Западной Сибири (в том числе в Одессу транзитом через Украину). В Центральную Европу западносибирская нефть поставляется по нефтепроводу “Дружба” через Украину. В Северо-Западную Европу - танкерами через порты государств Балтии (Вентспилс, Клайпеда), куда она поставляется по нефтепроводам. В ближайшие несколько лет география поставок российской нефти претерпит изменения. Так как наряду с Западной Сибирью появятся новые, ориентированные на экспорт районы добычи нефти на Дальнем Востоке (экспорт в Юго-Восточную Азию), на севере европейской части страны (Тимано-Печорская нефтегазоносная провинция).   </w:t>
      </w:r>
    </w:p>
    <w:p w:rsidR="00E33DFD" w:rsidRDefault="00E33DFD">
      <w:pPr>
        <w:pStyle w:val="a3"/>
        <w:spacing w:line="360" w:lineRule="auto"/>
        <w:ind w:firstLine="720"/>
        <w:rPr>
          <w:sz w:val="28"/>
        </w:rPr>
      </w:pPr>
      <w:r>
        <w:rPr>
          <w:sz w:val="28"/>
        </w:rPr>
        <w:t xml:space="preserve">Экспорт нефти и нефтепродуктов, </w:t>
      </w:r>
      <w:r>
        <w:t>млн. т</w:t>
      </w:r>
    </w:p>
    <w:tbl>
      <w:tblPr>
        <w:tblW w:w="0" w:type="auto"/>
        <w:tblInd w:w="-108" w:type="dxa"/>
        <w:tblLayout w:type="fixed"/>
        <w:tblLook w:val="00A0" w:firstRow="1" w:lastRow="0" w:firstColumn="1" w:lastColumn="0" w:noHBand="0" w:noVBand="0"/>
      </w:tblPr>
      <w:tblGrid>
        <w:gridCol w:w="3246"/>
        <w:gridCol w:w="726"/>
        <w:gridCol w:w="681"/>
        <w:gridCol w:w="681"/>
        <w:gridCol w:w="726"/>
        <w:gridCol w:w="726"/>
      </w:tblGrid>
      <w:tr w:rsidR="00E33DFD">
        <w:tc>
          <w:tcPr>
            <w:tcW w:w="3246" w:type="dxa"/>
            <w:tcBorders>
              <w:top w:val="single" w:sz="12" w:space="0" w:color="808080"/>
              <w:bottom w:val="single" w:sz="6" w:space="0" w:color="808080"/>
            </w:tcBorders>
          </w:tcPr>
          <w:p w:rsidR="00E33DFD" w:rsidRDefault="00E33DFD">
            <w:pPr>
              <w:pStyle w:val="a3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6" w:type="dxa"/>
            <w:tcBorders>
              <w:top w:val="single" w:sz="12" w:space="0" w:color="808080"/>
              <w:bottom w:val="single" w:sz="6" w:space="0" w:color="808080"/>
            </w:tcBorders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1990</w:t>
            </w:r>
          </w:p>
        </w:tc>
        <w:tc>
          <w:tcPr>
            <w:tcW w:w="681" w:type="dxa"/>
            <w:tcBorders>
              <w:top w:val="single" w:sz="12" w:space="0" w:color="808080"/>
              <w:bottom w:val="single" w:sz="6" w:space="0" w:color="808080"/>
            </w:tcBorders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1993</w:t>
            </w:r>
          </w:p>
        </w:tc>
        <w:tc>
          <w:tcPr>
            <w:tcW w:w="681" w:type="dxa"/>
            <w:tcBorders>
              <w:top w:val="single" w:sz="12" w:space="0" w:color="808080"/>
              <w:bottom w:val="single" w:sz="6" w:space="0" w:color="808080"/>
            </w:tcBorders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1995</w:t>
            </w:r>
          </w:p>
        </w:tc>
        <w:tc>
          <w:tcPr>
            <w:tcW w:w="726" w:type="dxa"/>
            <w:tcBorders>
              <w:top w:val="single" w:sz="12" w:space="0" w:color="808080"/>
              <w:bottom w:val="single" w:sz="6" w:space="0" w:color="808080"/>
            </w:tcBorders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1996</w:t>
            </w:r>
          </w:p>
        </w:tc>
        <w:tc>
          <w:tcPr>
            <w:tcW w:w="726" w:type="dxa"/>
            <w:tcBorders>
              <w:top w:val="single" w:sz="12" w:space="0" w:color="808080"/>
              <w:bottom w:val="single" w:sz="6" w:space="0" w:color="808080"/>
            </w:tcBorders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1997</w:t>
            </w:r>
          </w:p>
        </w:tc>
      </w:tr>
      <w:tr w:rsidR="00E33DFD">
        <w:tc>
          <w:tcPr>
            <w:tcW w:w="3246" w:type="dxa"/>
          </w:tcPr>
          <w:p w:rsidR="00E33DFD" w:rsidRDefault="00E33DFD">
            <w:pPr>
              <w:pStyle w:val="a3"/>
              <w:spacing w:line="360" w:lineRule="auto"/>
            </w:pPr>
            <w:r>
              <w:t>Сырой нефти в страны вне СНГ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109.0</w:t>
            </w:r>
          </w:p>
        </w:tc>
        <w:tc>
          <w:tcPr>
            <w:tcW w:w="681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47.8</w:t>
            </w:r>
          </w:p>
        </w:tc>
        <w:tc>
          <w:tcPr>
            <w:tcW w:w="681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96.2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105.4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110.1</w:t>
            </w:r>
          </w:p>
        </w:tc>
      </w:tr>
      <w:tr w:rsidR="00E33DFD">
        <w:tc>
          <w:tcPr>
            <w:tcW w:w="3246" w:type="dxa"/>
          </w:tcPr>
          <w:p w:rsidR="00E33DFD" w:rsidRDefault="00E33DFD">
            <w:pPr>
              <w:pStyle w:val="a3"/>
              <w:spacing w:line="360" w:lineRule="auto"/>
            </w:pPr>
            <w:r>
              <w:t>Нефтепродуктов в страны вне СНГ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</w:p>
        </w:tc>
        <w:tc>
          <w:tcPr>
            <w:tcW w:w="681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</w:p>
        </w:tc>
        <w:tc>
          <w:tcPr>
            <w:tcW w:w="681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43.5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53.3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58.6</w:t>
            </w:r>
          </w:p>
        </w:tc>
      </w:tr>
      <w:tr w:rsidR="00E33DFD">
        <w:tc>
          <w:tcPr>
            <w:tcW w:w="3246" w:type="dxa"/>
          </w:tcPr>
          <w:p w:rsidR="00E33DFD" w:rsidRDefault="00E33DFD">
            <w:pPr>
              <w:pStyle w:val="a3"/>
              <w:spacing w:line="360" w:lineRule="auto"/>
            </w:pPr>
            <w:r>
              <w:t>Сырой нефти в страны СНГ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123.0</w:t>
            </w:r>
          </w:p>
        </w:tc>
        <w:tc>
          <w:tcPr>
            <w:tcW w:w="681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79.7</w:t>
            </w:r>
          </w:p>
        </w:tc>
        <w:tc>
          <w:tcPr>
            <w:tcW w:w="681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26.1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20.6</w:t>
            </w:r>
          </w:p>
        </w:tc>
        <w:tc>
          <w:tcPr>
            <w:tcW w:w="726" w:type="dxa"/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17.6</w:t>
            </w:r>
          </w:p>
        </w:tc>
      </w:tr>
      <w:tr w:rsidR="00E33DFD">
        <w:tc>
          <w:tcPr>
            <w:tcW w:w="3246" w:type="dxa"/>
            <w:tcBorders>
              <w:bottom w:val="single" w:sz="12" w:space="0" w:color="808080"/>
            </w:tcBorders>
          </w:tcPr>
          <w:p w:rsidR="00E33DFD" w:rsidRDefault="00E33DFD">
            <w:pPr>
              <w:pStyle w:val="a3"/>
              <w:spacing w:line="360" w:lineRule="auto"/>
            </w:pPr>
            <w:r>
              <w:t>Нефтепродуктов в страны СНГ</w:t>
            </w:r>
          </w:p>
        </w:tc>
        <w:tc>
          <w:tcPr>
            <w:tcW w:w="726" w:type="dxa"/>
            <w:tcBorders>
              <w:bottom w:val="single" w:sz="12" w:space="0" w:color="808080"/>
            </w:tcBorders>
          </w:tcPr>
          <w:p w:rsidR="00E33DFD" w:rsidRDefault="00E33DFD">
            <w:pPr>
              <w:pStyle w:val="a3"/>
              <w:spacing w:line="360" w:lineRule="auto"/>
              <w:jc w:val="center"/>
            </w:pPr>
          </w:p>
        </w:tc>
        <w:tc>
          <w:tcPr>
            <w:tcW w:w="681" w:type="dxa"/>
            <w:tcBorders>
              <w:bottom w:val="single" w:sz="12" w:space="0" w:color="808080"/>
            </w:tcBorders>
          </w:tcPr>
          <w:p w:rsidR="00E33DFD" w:rsidRDefault="00E33DFD">
            <w:pPr>
              <w:pStyle w:val="a3"/>
              <w:spacing w:line="360" w:lineRule="auto"/>
              <w:jc w:val="center"/>
            </w:pPr>
          </w:p>
        </w:tc>
        <w:tc>
          <w:tcPr>
            <w:tcW w:w="681" w:type="dxa"/>
            <w:tcBorders>
              <w:bottom w:val="single" w:sz="12" w:space="0" w:color="808080"/>
            </w:tcBorders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3.5</w:t>
            </w:r>
          </w:p>
        </w:tc>
        <w:tc>
          <w:tcPr>
            <w:tcW w:w="726" w:type="dxa"/>
            <w:tcBorders>
              <w:bottom w:val="single" w:sz="12" w:space="0" w:color="808080"/>
            </w:tcBorders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1.9</w:t>
            </w:r>
          </w:p>
        </w:tc>
        <w:tc>
          <w:tcPr>
            <w:tcW w:w="726" w:type="dxa"/>
            <w:tcBorders>
              <w:bottom w:val="single" w:sz="12" w:space="0" w:color="808080"/>
            </w:tcBorders>
          </w:tcPr>
          <w:p w:rsidR="00E33DFD" w:rsidRDefault="00E33DFD">
            <w:pPr>
              <w:pStyle w:val="a3"/>
              <w:spacing w:line="360" w:lineRule="auto"/>
              <w:jc w:val="center"/>
            </w:pPr>
            <w:r>
              <w:t>2.0</w:t>
            </w:r>
          </w:p>
        </w:tc>
      </w:tr>
    </w:tbl>
    <w:p w:rsidR="00E33DFD" w:rsidRDefault="00E33DFD">
      <w:pPr>
        <w:pStyle w:val="a3"/>
        <w:spacing w:line="360" w:lineRule="auto"/>
        <w:ind w:firstLine="720"/>
        <w:rPr>
          <w:sz w:val="28"/>
        </w:rPr>
      </w:pPr>
      <w:r>
        <w:rPr>
          <w:sz w:val="28"/>
        </w:rPr>
        <w:t>При этом около 1</w:t>
      </w:r>
      <w:r>
        <w:rPr>
          <w:sz w:val="28"/>
          <w:lang w:val="en-US"/>
        </w:rPr>
        <w:t>/3</w:t>
      </w:r>
      <w:r>
        <w:rPr>
          <w:sz w:val="28"/>
        </w:rPr>
        <w:t xml:space="preserve"> нефти поставляется в </w:t>
      </w:r>
      <w:r>
        <w:rPr>
          <w:b/>
          <w:sz w:val="28"/>
        </w:rPr>
        <w:t>Белоруссию</w:t>
      </w:r>
      <w:r>
        <w:rPr>
          <w:sz w:val="28"/>
        </w:rPr>
        <w:t>, где она перерабатывается на 2-х НПЗ, расположенных в Новополоцке и Мозыре. В 1997 году в Белоруссии было добыто 1.821 млн. т нефти, это на  2.3 % меньше чем в 1996г. В 1997г. удалось замедлить темпы сокращения нефтедобычи. В Белоруссии рассчитывают, что в 1998 году уровень добычи углеводородного сырья стабилизируется за счет “</w:t>
      </w:r>
      <w:r>
        <w:rPr>
          <w:sz w:val="28"/>
          <w:lang w:val="en-US"/>
        </w:rPr>
        <w:t xml:space="preserve">max </w:t>
      </w:r>
      <w:r>
        <w:rPr>
          <w:sz w:val="28"/>
        </w:rPr>
        <w:t>компенсации извлекаемых объемов нефти новыми запасами и интенсивной нефтедобычей”. Белорусские предприятия по транспортировке нефти “Дружба” в 1997 году транспортировали 76.625 млн. т нефти, что на 3.3% больше, чем в 1996 году ( в том числе на экспорт 64.855 млн. тонн (104.3% к 1996 г.)).</w:t>
      </w:r>
    </w:p>
    <w:p w:rsidR="00E33DFD" w:rsidRDefault="00E33DFD">
      <w:pPr>
        <w:pStyle w:val="a3"/>
        <w:spacing w:line="360" w:lineRule="auto"/>
        <w:ind w:firstLine="720"/>
        <w:rPr>
          <w:sz w:val="28"/>
        </w:rPr>
      </w:pPr>
      <w:r>
        <w:rPr>
          <w:sz w:val="28"/>
        </w:rPr>
        <w:t>1</w:t>
      </w:r>
      <w:r>
        <w:rPr>
          <w:sz w:val="28"/>
          <w:lang w:val="en-US"/>
        </w:rPr>
        <w:t>/3</w:t>
      </w:r>
      <w:r>
        <w:rPr>
          <w:sz w:val="28"/>
        </w:rPr>
        <w:t xml:space="preserve"> нефти, экспортируемой в страны СНГ, поставляется в </w:t>
      </w:r>
      <w:r>
        <w:rPr>
          <w:b/>
          <w:sz w:val="28"/>
        </w:rPr>
        <w:t>Украину</w:t>
      </w:r>
      <w:r>
        <w:rPr>
          <w:sz w:val="28"/>
        </w:rPr>
        <w:t>. Потребность Украины в нефтепродуктах по разным оценкам 24-28 млн. т в год. За счет импорта она удовлетворяет потребность в нефти (нефтепродуктах) на 80-90%. К 2000 году планируется довести годовую добычу до 5 млн.т в год. В Херсоне, Лисичанске, Кременчуге и Одессе на привозной нефти работают НПЗ ( + НПЗ в Дрогобыче).</w:t>
      </w:r>
    </w:p>
    <w:p w:rsidR="00E33DFD" w:rsidRDefault="00E33DFD">
      <w:pPr>
        <w:pStyle w:val="a3"/>
        <w:spacing w:line="360" w:lineRule="auto"/>
        <w:ind w:firstLine="720"/>
        <w:rPr>
          <w:sz w:val="28"/>
        </w:rPr>
      </w:pPr>
      <w:r>
        <w:rPr>
          <w:sz w:val="28"/>
        </w:rPr>
        <w:t xml:space="preserve">Около 3 млн. т нефти экспортируется в </w:t>
      </w:r>
      <w:r>
        <w:rPr>
          <w:b/>
          <w:sz w:val="28"/>
        </w:rPr>
        <w:t>Казахстан</w:t>
      </w:r>
      <w:r>
        <w:rPr>
          <w:sz w:val="28"/>
        </w:rPr>
        <w:t xml:space="preserve">. При этом по нефтепроводу Узень - Гурьев - Самара в РФ поставляется примерно такое же количество нефти. Казахстан начал добывать нефть на полуострове Бузачи, где невысокая глубина залегания, но высокая вязкость требует применения специальной технологии с закачиванием в скважины горячего пара. Продолжается добыча в старом нефтеперерабатывающем районе - Эмбенском. Местные нефти перерабатываются на Гурьевском НПЗ. Поставки нефтепродуктов восточным и южным областям осуществляются с Павлодарского и Чимкентского НПЗ, работающих на западносибирской нефти, поступающей из Омска.  </w:t>
      </w:r>
    </w:p>
    <w:p w:rsidR="00E33DFD" w:rsidRDefault="00E33DFD">
      <w:pPr>
        <w:pStyle w:val="a3"/>
        <w:spacing w:line="360" w:lineRule="auto"/>
        <w:rPr>
          <w:sz w:val="28"/>
        </w:rPr>
      </w:pPr>
      <w:r>
        <w:rPr>
          <w:sz w:val="28"/>
        </w:rPr>
        <w:t>Как можно заметить, объем экспортируемой нефти резко сократился после распада СССР. Поставки на мировой рынок к 1997 году достигли уровня 1990 года, тогда как поставки в страны ближнего зарубежья продолжают сокращаться. Скорее всего это связано с тем, что России выгоднее продавать нефть на мировых рынках, а так как уровень добычи падает, а спрос за рубежом на российскую нефть есть, для поставок в страны СНГ просто не хватает ресурсов.</w:t>
      </w:r>
    </w:p>
    <w:p w:rsidR="00E33DFD" w:rsidRDefault="00E33DF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</w:t>
      </w:r>
    </w:p>
    <w:p w:rsidR="00E33DFD" w:rsidRDefault="00E33DFD">
      <w:pPr>
        <w:spacing w:line="360" w:lineRule="auto"/>
        <w:ind w:firstLine="720"/>
        <w:rPr>
          <w:b/>
          <w:sz w:val="28"/>
        </w:rPr>
      </w:pPr>
    </w:p>
    <w:p w:rsidR="00E33DFD" w:rsidRDefault="00E33DFD">
      <w:pPr>
        <w:spacing w:line="360" w:lineRule="auto"/>
        <w:ind w:firstLine="720"/>
        <w:rPr>
          <w:sz w:val="28"/>
        </w:rPr>
      </w:pP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   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        </w:t>
      </w:r>
    </w:p>
    <w:p w:rsidR="00E33DFD" w:rsidRDefault="00E33DFD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  </w:t>
      </w:r>
    </w:p>
    <w:p w:rsidR="00E33DFD" w:rsidRDefault="00E33DFD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E33DFD" w:rsidRDefault="00E33DFD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E33DFD" w:rsidRDefault="00E33DFD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E33DFD" w:rsidRDefault="00E33DFD">
      <w:pPr>
        <w:spacing w:line="480" w:lineRule="auto"/>
        <w:rPr>
          <w:sz w:val="28"/>
        </w:rPr>
      </w:pPr>
    </w:p>
    <w:p w:rsidR="00E33DFD" w:rsidRDefault="00E33DFD">
      <w:pPr>
        <w:rPr>
          <w:sz w:val="28"/>
        </w:rPr>
      </w:pPr>
    </w:p>
    <w:p w:rsidR="00E33DFD" w:rsidRDefault="00E33DFD">
      <w:pPr>
        <w:rPr>
          <w:sz w:val="28"/>
        </w:rPr>
      </w:pPr>
      <w:bookmarkStart w:id="0" w:name="_GoBack"/>
      <w:bookmarkEnd w:id="0"/>
    </w:p>
    <w:sectPr w:rsidR="00E33DFD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FD" w:rsidRDefault="00E33DFD">
      <w:r>
        <w:separator/>
      </w:r>
    </w:p>
  </w:endnote>
  <w:endnote w:type="continuationSeparator" w:id="0">
    <w:p w:rsidR="00E33DFD" w:rsidRDefault="00E3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FD" w:rsidRDefault="00E33DFD">
      <w:r>
        <w:separator/>
      </w:r>
    </w:p>
  </w:footnote>
  <w:footnote w:type="continuationSeparator" w:id="0">
    <w:p w:rsidR="00E33DFD" w:rsidRDefault="00E33DFD">
      <w:r>
        <w:continuationSeparator/>
      </w:r>
    </w:p>
  </w:footnote>
  <w:footnote w:id="1">
    <w:p w:rsidR="00E33DFD" w:rsidRDefault="00E33DFD">
      <w:pPr>
        <w:pStyle w:val="a4"/>
      </w:pPr>
      <w:r>
        <w:rPr>
          <w:rStyle w:val="a5"/>
        </w:rPr>
        <w:footnoteRef/>
      </w:r>
      <w:r>
        <w:t xml:space="preserve"> Обозначения в скобках: м.д. - нефть перерабатывается в </w:t>
      </w:r>
      <w:r>
        <w:rPr>
          <w:b/>
        </w:rPr>
        <w:t>м</w:t>
      </w:r>
      <w:r>
        <w:t xml:space="preserve">естах </w:t>
      </w:r>
      <w:r>
        <w:rPr>
          <w:b/>
        </w:rPr>
        <w:t>д</w:t>
      </w:r>
      <w:r>
        <w:t xml:space="preserve">обычи; н.ц. - </w:t>
      </w:r>
      <w:r>
        <w:rPr>
          <w:b/>
        </w:rPr>
        <w:t>н</w:t>
      </w:r>
      <w:r>
        <w:t xml:space="preserve">овый нефтеперерабатывающий </w:t>
      </w:r>
      <w:r>
        <w:rPr>
          <w:b/>
        </w:rPr>
        <w:t>ц</w:t>
      </w:r>
      <w:r>
        <w:t>ентр. В случае отсутствия м.д. нефть перерабатывается вблизи нефтепроводов.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C61"/>
    <w:rsid w:val="004114D6"/>
    <w:rsid w:val="00690C61"/>
    <w:rsid w:val="00A30A5C"/>
    <w:rsid w:val="00E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105C1-FF5C-4FAA-88ED-0E8BCA46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№1: Значение нефтяной промышленности в экономике страны</vt:lpstr>
    </vt:vector>
  </TitlesOfParts>
  <Company>Elcom Ltd</Company>
  <LinksUpToDate>false</LinksUpToDate>
  <CharactersWithSpaces>24937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№1: Значение нефтяной промышленности в экономике страны</dc:title>
  <dc:subject/>
  <dc:creator>Alexandre Katalov</dc:creator>
  <cp:keywords/>
  <dc:description/>
  <cp:lastModifiedBy>Irina</cp:lastModifiedBy>
  <cp:revision>2</cp:revision>
  <cp:lastPrinted>1899-12-31T21:00:00Z</cp:lastPrinted>
  <dcterms:created xsi:type="dcterms:W3CDTF">2014-08-06T18:48:00Z</dcterms:created>
  <dcterms:modified xsi:type="dcterms:W3CDTF">2014-08-06T18:48:00Z</dcterms:modified>
</cp:coreProperties>
</file>