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0642" w:rsidRDefault="00930642">
      <w:pPr>
        <w:widowControl w:val="0"/>
        <w:spacing w:before="120"/>
        <w:jc w:val="center"/>
        <w:rPr>
          <w:b/>
          <w:bCs/>
          <w:color w:val="000000"/>
          <w:sz w:val="32"/>
          <w:szCs w:val="32"/>
        </w:rPr>
      </w:pPr>
      <w:r>
        <w:rPr>
          <w:b/>
          <w:bCs/>
          <w:color w:val="000000"/>
          <w:sz w:val="32"/>
          <w:szCs w:val="32"/>
        </w:rPr>
        <w:t>Значение примирения в стадии подготовки дела к судебному разбирательству</w:t>
      </w:r>
    </w:p>
    <w:p w:rsidR="00930642" w:rsidRDefault="00930642">
      <w:pPr>
        <w:widowControl w:val="0"/>
        <w:spacing w:before="120"/>
        <w:jc w:val="center"/>
        <w:rPr>
          <w:color w:val="000000"/>
          <w:sz w:val="28"/>
          <w:szCs w:val="28"/>
        </w:rPr>
      </w:pPr>
      <w:r>
        <w:rPr>
          <w:color w:val="000000"/>
          <w:sz w:val="28"/>
          <w:szCs w:val="28"/>
        </w:rPr>
        <w:t>Работа студента Фильченко Д.Г.</w:t>
      </w:r>
    </w:p>
    <w:p w:rsidR="00930642" w:rsidRDefault="00930642">
      <w:pPr>
        <w:widowControl w:val="0"/>
        <w:spacing w:before="120"/>
        <w:jc w:val="center"/>
        <w:rPr>
          <w:color w:val="000000"/>
          <w:sz w:val="28"/>
          <w:szCs w:val="28"/>
        </w:rPr>
      </w:pPr>
      <w:r>
        <w:rPr>
          <w:color w:val="000000"/>
          <w:sz w:val="28"/>
          <w:szCs w:val="28"/>
        </w:rPr>
        <w:t>Воронежский государственный университет</w:t>
      </w:r>
    </w:p>
    <w:p w:rsidR="00930642" w:rsidRDefault="00930642">
      <w:pPr>
        <w:widowControl w:val="0"/>
        <w:spacing w:before="120"/>
        <w:jc w:val="center"/>
        <w:rPr>
          <w:color w:val="000000"/>
          <w:sz w:val="28"/>
          <w:szCs w:val="28"/>
        </w:rPr>
      </w:pPr>
      <w:r>
        <w:rPr>
          <w:color w:val="000000"/>
          <w:sz w:val="28"/>
          <w:szCs w:val="28"/>
        </w:rPr>
        <w:t>Юридический факультет</w:t>
      </w:r>
    </w:p>
    <w:p w:rsidR="00930642" w:rsidRDefault="00930642">
      <w:pPr>
        <w:widowControl w:val="0"/>
        <w:spacing w:before="120"/>
        <w:ind w:firstLine="567"/>
        <w:jc w:val="both"/>
        <w:rPr>
          <w:color w:val="000000"/>
          <w:sz w:val="24"/>
          <w:szCs w:val="24"/>
        </w:rPr>
      </w:pPr>
      <w:r>
        <w:rPr>
          <w:color w:val="000000"/>
          <w:sz w:val="24"/>
          <w:szCs w:val="24"/>
        </w:rPr>
        <w:t xml:space="preserve">Защита нарушенных прав осуществляется судом в результате рассмотрения и разрешения правового спора. Разрешение гражданского спора в итоге сводится к двум возможным вариантам: 1) принуждение одной из сторон к совершению указанных в решении суда действий; 2) примирение сторон на основе компромисса, возможность достижения которого может быть предусмотрена на любой стадии судопроизводства </w:t>
      </w:r>
      <w:r>
        <w:rPr>
          <w:color w:val="000000"/>
          <w:sz w:val="24"/>
          <w:szCs w:val="24"/>
          <w:vertAlign w:val="superscript"/>
        </w:rPr>
        <w:t>[1]</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 xml:space="preserve">Мировое соглашение сторон по делу – очень привлекательная, а в условиях не всегда эффективной защиты прав судами – просто спасительная форма урегулирования спора самими сторонами </w:t>
      </w:r>
      <w:r>
        <w:rPr>
          <w:color w:val="000000"/>
          <w:sz w:val="24"/>
          <w:szCs w:val="24"/>
          <w:vertAlign w:val="superscript"/>
        </w:rPr>
        <w:t>[2]</w:t>
      </w:r>
      <w:r>
        <w:rPr>
          <w:color w:val="000000"/>
          <w:sz w:val="24"/>
          <w:szCs w:val="24"/>
        </w:rPr>
        <w:t xml:space="preserve">. Конечно, примирение участников спора не может являться самоцелью судопроизводства </w:t>
      </w:r>
      <w:r>
        <w:rPr>
          <w:color w:val="000000"/>
          <w:sz w:val="24"/>
          <w:szCs w:val="24"/>
          <w:vertAlign w:val="superscript"/>
        </w:rPr>
        <w:t>[3]</w:t>
      </w:r>
      <w:r>
        <w:rPr>
          <w:color w:val="000000"/>
          <w:sz w:val="24"/>
          <w:szCs w:val="24"/>
        </w:rPr>
        <w:t xml:space="preserve">, но судья должен при наличии достаточных оснований принимать меры к примирению сторон. Для арбитражного судопроизводства развитие примирительных процедур особенно актуально, поскольку это позволит избежать разрыва партнёрских отношений в бизнесе, будет способствовать стабильности экономических отношений </w:t>
      </w:r>
      <w:r>
        <w:rPr>
          <w:color w:val="000000"/>
          <w:sz w:val="24"/>
          <w:szCs w:val="24"/>
          <w:vertAlign w:val="superscript"/>
        </w:rPr>
        <w:t>[4]</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Если говорить о примирении сторон в стадии подготовки дела, то эта процедура на данном этапе имеет особое значение. Судья, принимая меры к примирению конфликтующих сторон, может не доводить спор до судебного разбирательства. В таком варианте опять встаёт вопрос о необходимости наделения судьи правом прекращать производство до начала судебного разбирательства. В противном случае, возникает ситуация, когда уже урегулированный конфликт придётся ещё раз рассматривать в судебном заседании.</w:t>
      </w:r>
    </w:p>
    <w:p w:rsidR="00930642" w:rsidRDefault="00930642">
      <w:pPr>
        <w:widowControl w:val="0"/>
        <w:spacing w:before="120"/>
        <w:ind w:firstLine="567"/>
        <w:jc w:val="both"/>
        <w:rPr>
          <w:color w:val="000000"/>
          <w:sz w:val="24"/>
          <w:szCs w:val="24"/>
        </w:rPr>
      </w:pPr>
      <w:r>
        <w:rPr>
          <w:color w:val="000000"/>
          <w:sz w:val="24"/>
          <w:szCs w:val="24"/>
        </w:rPr>
        <w:t xml:space="preserve">Проблема заключается в том, по чьей инициативе возможно проведение примирения сторон. С нашей точки зрения, предварительное внесудебное разрешение спора должно производиться по инициативе суда, но воля сторон всегда должна приниматься во внимание. Следовательно, представляется неверным суждение о внесудебной процедуре примирительного характера как об обязательной для сторон </w:t>
      </w:r>
      <w:r>
        <w:rPr>
          <w:color w:val="000000"/>
          <w:sz w:val="24"/>
          <w:szCs w:val="24"/>
          <w:vertAlign w:val="superscript"/>
        </w:rPr>
        <w:t>[5]</w:t>
      </w:r>
      <w:r>
        <w:rPr>
          <w:color w:val="000000"/>
          <w:sz w:val="24"/>
          <w:szCs w:val="24"/>
        </w:rPr>
        <w:t>, так как участники спора могут не изъявить желание осуществлять попытку урегулирования разногласий до судебного разбирательства</w:t>
      </w:r>
    </w:p>
    <w:p w:rsidR="00930642" w:rsidRDefault="00930642">
      <w:pPr>
        <w:widowControl w:val="0"/>
        <w:spacing w:before="120"/>
        <w:ind w:firstLine="567"/>
        <w:jc w:val="both"/>
        <w:rPr>
          <w:color w:val="000000"/>
          <w:sz w:val="24"/>
          <w:szCs w:val="24"/>
        </w:rPr>
      </w:pPr>
      <w:r>
        <w:rPr>
          <w:color w:val="000000"/>
          <w:sz w:val="24"/>
          <w:szCs w:val="24"/>
        </w:rPr>
        <w:t>Примирение как способ разрешения правового конфликта имеет существенные позитивные черты как для суда, так и для сторон. Суд (судья) приобретает ряд явных преимуществ по сравнению с рассмотрением дела в судебном заседании:</w:t>
      </w:r>
    </w:p>
    <w:p w:rsidR="00930642" w:rsidRDefault="00930642">
      <w:pPr>
        <w:widowControl w:val="0"/>
        <w:spacing w:before="120"/>
        <w:ind w:firstLine="567"/>
        <w:jc w:val="both"/>
        <w:rPr>
          <w:color w:val="000000"/>
          <w:sz w:val="24"/>
          <w:szCs w:val="24"/>
        </w:rPr>
      </w:pPr>
      <w:r>
        <w:rPr>
          <w:color w:val="000000"/>
          <w:sz w:val="24"/>
          <w:szCs w:val="24"/>
        </w:rPr>
        <w:t>1) Заключение мирового соглашения избавляет суд от необходимости длительного, как правило, судебного разбирательства по заявленным требованиям, что способствует избавлению судов от загруженности.</w:t>
      </w:r>
    </w:p>
    <w:p w:rsidR="00930642" w:rsidRDefault="00930642">
      <w:pPr>
        <w:widowControl w:val="0"/>
        <w:spacing w:before="120"/>
        <w:ind w:firstLine="567"/>
        <w:jc w:val="both"/>
        <w:rPr>
          <w:color w:val="000000"/>
          <w:sz w:val="24"/>
          <w:szCs w:val="24"/>
        </w:rPr>
      </w:pPr>
      <w:r>
        <w:rPr>
          <w:color w:val="000000"/>
          <w:sz w:val="24"/>
          <w:szCs w:val="24"/>
        </w:rPr>
        <w:t xml:space="preserve">2) Мировое соглашение ликвидирует судебный спор между сторонами </w:t>
      </w:r>
      <w:r>
        <w:rPr>
          <w:color w:val="000000"/>
          <w:sz w:val="24"/>
          <w:szCs w:val="24"/>
          <w:vertAlign w:val="superscript"/>
        </w:rPr>
        <w:t>[6]</w:t>
      </w:r>
      <w:r>
        <w:rPr>
          <w:color w:val="000000"/>
          <w:sz w:val="24"/>
          <w:szCs w:val="24"/>
        </w:rPr>
        <w:t xml:space="preserve"> и влечёт прекращение производства по делу, если заключённое мировое соглашение утверждено судом, не допускает вторичное обращение в арбитражный суд по спору между теми же лицами, о том же предмете и по тем же основаниям.</w:t>
      </w:r>
    </w:p>
    <w:p w:rsidR="00930642" w:rsidRDefault="00930642">
      <w:pPr>
        <w:widowControl w:val="0"/>
        <w:spacing w:before="120"/>
        <w:ind w:firstLine="567"/>
        <w:jc w:val="both"/>
        <w:rPr>
          <w:color w:val="000000"/>
          <w:sz w:val="24"/>
          <w:szCs w:val="24"/>
        </w:rPr>
      </w:pPr>
      <w:r>
        <w:rPr>
          <w:color w:val="000000"/>
          <w:sz w:val="24"/>
          <w:szCs w:val="24"/>
        </w:rPr>
        <w:t xml:space="preserve">3) Если примирительные процедуры применяются в стадии подготовки дела к судебному разбирательству, то стороны идут осознанно к примирению. Это означает, что не возникают проблемы иждивенчества сторон, не может быть зависимости качества работы арбитражного суда от поведения сторон </w:t>
      </w:r>
      <w:r>
        <w:rPr>
          <w:color w:val="000000"/>
          <w:sz w:val="24"/>
          <w:szCs w:val="24"/>
          <w:vertAlign w:val="superscript"/>
        </w:rPr>
        <w:t>[7]</w:t>
      </w:r>
      <w:r>
        <w:rPr>
          <w:color w:val="000000"/>
          <w:sz w:val="24"/>
          <w:szCs w:val="24"/>
        </w:rPr>
        <w:t>, так как участники конфликта сами заинтересованы в представлении всех доказательств и выполнении всех необходимых действий для успешного досудебного урегулирования спора.</w:t>
      </w:r>
    </w:p>
    <w:p w:rsidR="00930642" w:rsidRDefault="00930642">
      <w:pPr>
        <w:widowControl w:val="0"/>
        <w:spacing w:before="120"/>
        <w:ind w:firstLine="567"/>
        <w:jc w:val="both"/>
        <w:rPr>
          <w:color w:val="000000"/>
          <w:sz w:val="24"/>
          <w:szCs w:val="24"/>
        </w:rPr>
      </w:pPr>
      <w:r>
        <w:rPr>
          <w:color w:val="000000"/>
          <w:sz w:val="24"/>
          <w:szCs w:val="24"/>
        </w:rPr>
        <w:t xml:space="preserve">4) Если стороны достигли мирового соглашения ещё при подготовке дела к судебному разбирательству, перед судьёй не стоит вопрос о соблюдении сроков рассмотрения дел </w:t>
      </w:r>
      <w:r>
        <w:rPr>
          <w:color w:val="000000"/>
          <w:sz w:val="24"/>
          <w:szCs w:val="24"/>
          <w:vertAlign w:val="superscript"/>
        </w:rPr>
        <w:t>[8]</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Сторонам арбитражного спора примирение в стадии подготовки дела к разбирательству «сулит» ещё большие преимущества:</w:t>
      </w:r>
    </w:p>
    <w:p w:rsidR="00930642" w:rsidRDefault="00930642">
      <w:pPr>
        <w:widowControl w:val="0"/>
        <w:spacing w:before="120"/>
        <w:ind w:firstLine="567"/>
        <w:jc w:val="both"/>
        <w:rPr>
          <w:color w:val="000000"/>
          <w:sz w:val="24"/>
          <w:szCs w:val="24"/>
        </w:rPr>
      </w:pPr>
      <w:r>
        <w:rPr>
          <w:color w:val="000000"/>
          <w:sz w:val="24"/>
          <w:szCs w:val="24"/>
        </w:rPr>
        <w:t xml:space="preserve">1) Мир, достигнутый сторонами, позволяет экономить время, а при полноценном судебном разбирательстве, с учётом возможностей пересмотра судебного решения, срок рассмотрения дела растягивается на долгие месяцы. </w:t>
      </w:r>
    </w:p>
    <w:p w:rsidR="00930642" w:rsidRDefault="00930642">
      <w:pPr>
        <w:widowControl w:val="0"/>
        <w:spacing w:before="120"/>
        <w:ind w:firstLine="567"/>
        <w:jc w:val="both"/>
        <w:rPr>
          <w:color w:val="000000"/>
          <w:sz w:val="24"/>
          <w:szCs w:val="24"/>
        </w:rPr>
      </w:pPr>
      <w:r>
        <w:rPr>
          <w:color w:val="000000"/>
          <w:sz w:val="24"/>
          <w:szCs w:val="24"/>
        </w:rPr>
        <w:t>2) Урегулирование конфликта посредством заключения мирового соглашения даёт возможность реально уменьшить судебные расходы.</w:t>
      </w:r>
    </w:p>
    <w:p w:rsidR="00930642" w:rsidRDefault="00930642">
      <w:pPr>
        <w:widowControl w:val="0"/>
        <w:spacing w:before="120"/>
        <w:ind w:firstLine="567"/>
        <w:jc w:val="both"/>
        <w:rPr>
          <w:color w:val="000000"/>
          <w:sz w:val="24"/>
          <w:szCs w:val="24"/>
        </w:rPr>
      </w:pPr>
      <w:r>
        <w:rPr>
          <w:color w:val="000000"/>
          <w:sz w:val="24"/>
          <w:szCs w:val="24"/>
        </w:rPr>
        <w:t xml:space="preserve">3) Суд, проявляя инициативу к мировому урегулированию спора, тем самым способствует его разрешению без государственного принуждения и на взаимных для сторон условиях </w:t>
      </w:r>
      <w:r>
        <w:rPr>
          <w:color w:val="000000"/>
          <w:sz w:val="24"/>
          <w:szCs w:val="24"/>
          <w:vertAlign w:val="superscript"/>
        </w:rPr>
        <w:t>[9]</w:t>
      </w:r>
      <w:r>
        <w:rPr>
          <w:color w:val="000000"/>
          <w:sz w:val="24"/>
          <w:szCs w:val="24"/>
        </w:rPr>
        <w:t xml:space="preserve">, на основе убеждения спорящих сторон в необходимости именно такого разрешения спора </w:t>
      </w:r>
      <w:r>
        <w:rPr>
          <w:color w:val="000000"/>
          <w:sz w:val="24"/>
          <w:szCs w:val="24"/>
          <w:vertAlign w:val="superscript"/>
        </w:rPr>
        <w:t>[10]</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 xml:space="preserve">4) Внесудебный порядок разрешения спора является очным, проходящим в стенах арбитражного суда (в зале судебного заседания или в кабинете судьи) </w:t>
      </w:r>
      <w:r>
        <w:rPr>
          <w:color w:val="000000"/>
          <w:sz w:val="24"/>
          <w:szCs w:val="24"/>
          <w:vertAlign w:val="superscript"/>
        </w:rPr>
        <w:t>[11]</w:t>
      </w:r>
      <w:r>
        <w:rPr>
          <w:color w:val="000000"/>
          <w:sz w:val="24"/>
          <w:szCs w:val="24"/>
        </w:rPr>
        <w:t xml:space="preserve">, т.е стороны по делу непосредственно встречаются, но такая встреча осуществляется негласно, в обстановке конфиденциальности </w:t>
      </w:r>
      <w:r>
        <w:rPr>
          <w:color w:val="000000"/>
          <w:sz w:val="24"/>
          <w:szCs w:val="24"/>
          <w:vertAlign w:val="superscript"/>
        </w:rPr>
        <w:t>[12]</w:t>
      </w:r>
      <w:r>
        <w:rPr>
          <w:color w:val="000000"/>
          <w:sz w:val="24"/>
          <w:szCs w:val="24"/>
        </w:rPr>
        <w:t>, и тогда стороны более расположены к «мировому» разрешению конфликта, к открытому обсуждению проблем.</w:t>
      </w:r>
    </w:p>
    <w:p w:rsidR="00930642" w:rsidRDefault="00930642">
      <w:pPr>
        <w:widowControl w:val="0"/>
        <w:spacing w:before="120"/>
        <w:ind w:firstLine="567"/>
        <w:jc w:val="both"/>
        <w:rPr>
          <w:color w:val="000000"/>
          <w:sz w:val="24"/>
          <w:szCs w:val="24"/>
        </w:rPr>
      </w:pPr>
      <w:r>
        <w:rPr>
          <w:color w:val="000000"/>
          <w:sz w:val="24"/>
          <w:szCs w:val="24"/>
        </w:rPr>
        <w:t>5) Конечно, мировое соглашение, утверждённое определением суда, не разрешает дело по существу, но с заключением соглашения ликвидируется сам спор между сторонами.</w:t>
      </w:r>
    </w:p>
    <w:p w:rsidR="00930642" w:rsidRDefault="00930642">
      <w:pPr>
        <w:widowControl w:val="0"/>
        <w:spacing w:before="120"/>
        <w:ind w:firstLine="567"/>
        <w:jc w:val="both"/>
        <w:rPr>
          <w:color w:val="000000"/>
          <w:sz w:val="24"/>
          <w:szCs w:val="24"/>
        </w:rPr>
      </w:pPr>
      <w:r>
        <w:rPr>
          <w:color w:val="000000"/>
          <w:sz w:val="24"/>
          <w:szCs w:val="24"/>
        </w:rPr>
        <w:t xml:space="preserve">6) Для ответчика по делу мировое соглашение даёт очевидное преимущество в виде уменьшения размера взыскания </w:t>
      </w:r>
      <w:r>
        <w:rPr>
          <w:color w:val="000000"/>
          <w:sz w:val="24"/>
          <w:szCs w:val="24"/>
          <w:vertAlign w:val="superscript"/>
        </w:rPr>
        <w:t>[13]</w:t>
      </w:r>
      <w:r>
        <w:rPr>
          <w:color w:val="000000"/>
          <w:sz w:val="24"/>
          <w:szCs w:val="24"/>
        </w:rPr>
        <w:t xml:space="preserve"> по сравнению с ранее заявленными истцом требованиями. Для истца заключение мирового соглашения означает, что ответчик признал за собой определённые требования и подтверждает тем самым их удовлетворение. Более того, гарантией для истца также является обязательность определения, которым утверждено мировое соглашение, для всех государственных органов, органов местного самоуправления и иных органов, организаций, должностных лиц и граждан (ст.13 АПК РФ).</w:t>
      </w:r>
    </w:p>
    <w:p w:rsidR="00930642" w:rsidRDefault="00930642">
      <w:pPr>
        <w:widowControl w:val="0"/>
        <w:spacing w:before="120"/>
        <w:ind w:firstLine="567"/>
        <w:jc w:val="both"/>
        <w:rPr>
          <w:color w:val="000000"/>
          <w:sz w:val="24"/>
          <w:szCs w:val="24"/>
        </w:rPr>
      </w:pPr>
      <w:r>
        <w:rPr>
          <w:color w:val="000000"/>
          <w:sz w:val="24"/>
          <w:szCs w:val="24"/>
        </w:rPr>
        <w:t xml:space="preserve">7) процедура примирения реализуется несколько в иных условиях по сравнению с судебным процессом. ей характерны благоприятные процессуальные условия для сторон (быстрота, гибкость, неформальность) </w:t>
      </w:r>
      <w:r>
        <w:rPr>
          <w:color w:val="000000"/>
          <w:sz w:val="24"/>
          <w:szCs w:val="24"/>
          <w:vertAlign w:val="superscript"/>
        </w:rPr>
        <w:t>[14]</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 xml:space="preserve">8) Стороны при заключении мирового соглашения получают некоторые гарантии того, что их соглашение действенно, хотя нет судебного решения по спору, так как суд утверждает заключённое мировое соглашение. Также, суд гарантирует законность такого соглашения своим контролем </w:t>
      </w:r>
      <w:r>
        <w:rPr>
          <w:color w:val="000000"/>
          <w:sz w:val="24"/>
          <w:szCs w:val="24"/>
          <w:vertAlign w:val="superscript"/>
        </w:rPr>
        <w:t>[15]</w:t>
      </w:r>
      <w:r>
        <w:rPr>
          <w:color w:val="000000"/>
          <w:sz w:val="24"/>
          <w:szCs w:val="24"/>
        </w:rPr>
        <w:t>, а именно арбитражный суд не утверждает мировое соглашение, если оно противоречит законам и иным нормативным правовым актам или нарушает права и законные интересы других лиц (ст.37 АПК РФ).</w:t>
      </w:r>
    </w:p>
    <w:p w:rsidR="00930642" w:rsidRDefault="00930642">
      <w:pPr>
        <w:widowControl w:val="0"/>
        <w:spacing w:before="120"/>
        <w:ind w:firstLine="567"/>
        <w:jc w:val="both"/>
        <w:rPr>
          <w:color w:val="000000"/>
          <w:sz w:val="24"/>
          <w:szCs w:val="24"/>
        </w:rPr>
      </w:pPr>
      <w:r>
        <w:rPr>
          <w:color w:val="000000"/>
          <w:sz w:val="24"/>
          <w:szCs w:val="24"/>
        </w:rPr>
        <w:t xml:space="preserve">9) разрешение конфликта между сторонами посредством примирительной процедуры способствует продолжению мирового сотрудничества субъектов хозяйственной деятельности </w:t>
      </w:r>
      <w:r>
        <w:rPr>
          <w:color w:val="000000"/>
          <w:sz w:val="24"/>
          <w:szCs w:val="24"/>
          <w:vertAlign w:val="superscript"/>
        </w:rPr>
        <w:t>[16]</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 xml:space="preserve">10) Мировое соглашение способствует развитию у организаций и предпринимателей навыков самостоятельного урегулирования возникающих между ними споров, разногласий и уважения друг к другу в конфликтных ситуациях </w:t>
      </w:r>
      <w:r>
        <w:rPr>
          <w:color w:val="000000"/>
          <w:sz w:val="24"/>
          <w:szCs w:val="24"/>
          <w:vertAlign w:val="superscript"/>
        </w:rPr>
        <w:t>[17]</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11) Недостижение компромисса между участниками спора вовсе не означает отсутствие возможности дальнейшей судебной защиты. Если примирение не достигнуто на стадии подготовки дела к судебному разбирательству, то спор будет рассматриваться по всем правилам процессуального закона в судебном заседании.</w:t>
      </w:r>
    </w:p>
    <w:p w:rsidR="00930642" w:rsidRDefault="00930642">
      <w:pPr>
        <w:widowControl w:val="0"/>
        <w:spacing w:before="120"/>
        <w:ind w:firstLine="567"/>
        <w:jc w:val="both"/>
        <w:rPr>
          <w:color w:val="000000"/>
          <w:sz w:val="24"/>
          <w:szCs w:val="24"/>
        </w:rPr>
      </w:pPr>
      <w:r>
        <w:rPr>
          <w:color w:val="000000"/>
          <w:sz w:val="24"/>
          <w:szCs w:val="24"/>
        </w:rPr>
        <w:t xml:space="preserve">12) При осуществлении примирительных процедур наряду с состязательностью действует арбитрирование, которое как принцип примирительного производства должно стать основным началом в досудебном урегулировании спора. Стороны должны представить доказательства, обосновывающие их позиции, иначе и не может быть заседания, направленного к примирению сторон. Но такое досудебное урегулирование спора происходит в атмосфере сотрудничества. Стороны сами достигают соглашения по возникшим разногласиям, а судья (или помощник судьи) всемерно способствует им в этом </w:t>
      </w:r>
      <w:r>
        <w:rPr>
          <w:color w:val="000000"/>
          <w:sz w:val="24"/>
          <w:szCs w:val="24"/>
          <w:vertAlign w:val="superscript"/>
        </w:rPr>
        <w:t>[18]</w:t>
      </w:r>
      <w:r>
        <w:rPr>
          <w:color w:val="000000"/>
          <w:sz w:val="24"/>
          <w:szCs w:val="24"/>
        </w:rPr>
        <w:t xml:space="preserve">. Судья не рассматривает спор по существу, он с учётом обоснованности требований и возражений сторон координирует все действия участников спора </w:t>
      </w:r>
      <w:r>
        <w:rPr>
          <w:color w:val="000000"/>
          <w:sz w:val="24"/>
          <w:szCs w:val="24"/>
          <w:vertAlign w:val="superscript"/>
        </w:rPr>
        <w:t>[19]</w:t>
      </w:r>
      <w:r>
        <w:rPr>
          <w:color w:val="000000"/>
          <w:sz w:val="24"/>
          <w:szCs w:val="24"/>
        </w:rPr>
        <w:t xml:space="preserve">, помогает им установить имеющие значение обстоятельства, на основании которых возможно заключение законного мирового соглашения. Причём, судья не должен диктовать сторонам условия мирового соглашения, он может только способствовать примирению и давать рекомендации. Получается, что при досудебном (арбитражном, как называется эта процедура в проекте нового АПК РФ) урегулировании спора происходит активное участие сторон в некотором рассмотрении дела и в его разрешении </w:t>
      </w:r>
      <w:r>
        <w:rPr>
          <w:color w:val="000000"/>
          <w:sz w:val="24"/>
          <w:szCs w:val="24"/>
          <w:vertAlign w:val="superscript"/>
        </w:rPr>
        <w:t>[20]</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 xml:space="preserve">В последние годы появилось много публикаций, в которых указывается на положительный характер закрепления мирового соглашения как способа разрешения спора </w:t>
      </w:r>
      <w:r>
        <w:rPr>
          <w:color w:val="000000"/>
          <w:sz w:val="24"/>
          <w:szCs w:val="24"/>
          <w:vertAlign w:val="superscript"/>
        </w:rPr>
        <w:t>[21]</w:t>
      </w:r>
      <w:r>
        <w:rPr>
          <w:color w:val="000000"/>
          <w:sz w:val="24"/>
          <w:szCs w:val="24"/>
        </w:rPr>
        <w:t xml:space="preserve">. Но помимо этого неоднократно говорилось о необходимости использования примирительных процедур именно на стадии подготовки дела к слушанию, так как это позволит не допускать излишние споры до судебного разбирательства </w:t>
      </w:r>
      <w:r>
        <w:rPr>
          <w:color w:val="000000"/>
          <w:sz w:val="24"/>
          <w:szCs w:val="24"/>
          <w:vertAlign w:val="superscript"/>
        </w:rPr>
        <w:t>[22]</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Показательным является то, что на практике растет число случаев окончания судебного разбирательства заключением мирового соглашения. Данное положение можно продемонстрировать на примере Арбитражного суда Воронежской области.</w:t>
      </w:r>
    </w:p>
    <w:p w:rsidR="00930642" w:rsidRDefault="00930642">
      <w:pPr>
        <w:widowControl w:val="0"/>
        <w:spacing w:before="120"/>
        <w:ind w:firstLine="567"/>
        <w:jc w:val="both"/>
        <w:rPr>
          <w:color w:val="000000"/>
          <w:sz w:val="24"/>
          <w:szCs w:val="24"/>
        </w:rPr>
      </w:pPr>
    </w:p>
    <w:p w:rsidR="00930642" w:rsidRDefault="00930642">
      <w:pPr>
        <w:widowControl w:val="0"/>
        <w:spacing w:before="120"/>
        <w:ind w:firstLine="567"/>
        <w:jc w:val="both"/>
        <w:rPr>
          <w:color w:val="000000"/>
          <w:sz w:val="24"/>
          <w:szCs w:val="24"/>
        </w:rPr>
      </w:pPr>
    </w:p>
    <w:tbl>
      <w:tblPr>
        <w:tblW w:w="0" w:type="auto"/>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275"/>
        <w:gridCol w:w="2280"/>
        <w:gridCol w:w="2835"/>
        <w:gridCol w:w="2190"/>
      </w:tblGrid>
      <w:tr w:rsidR="00930642" w:rsidRPr="00930642">
        <w:trPr>
          <w:tblCellSpacing w:w="15" w:type="dxa"/>
        </w:trPr>
        <w:tc>
          <w:tcPr>
            <w:tcW w:w="1230" w:type="dxa"/>
            <w:tcBorders>
              <w:top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Год</w:t>
            </w:r>
          </w:p>
        </w:tc>
        <w:tc>
          <w:tcPr>
            <w:tcW w:w="2250"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Разрешено дел</w:t>
            </w:r>
          </w:p>
        </w:tc>
        <w:tc>
          <w:tcPr>
            <w:tcW w:w="2805"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 xml:space="preserve">С заключением мирового соглашения </w:t>
            </w:r>
          </w:p>
        </w:tc>
        <w:tc>
          <w:tcPr>
            <w:tcW w:w="2145" w:type="dxa"/>
            <w:tcBorders>
              <w:top w:val="outset" w:sz="6" w:space="0" w:color="auto"/>
              <w:left w:val="outset" w:sz="6" w:space="0" w:color="auto"/>
              <w:bottom w:val="outset" w:sz="6" w:space="0" w:color="auto"/>
            </w:tcBorders>
          </w:tcPr>
          <w:p w:rsidR="00930642" w:rsidRPr="00930642" w:rsidRDefault="00930642">
            <w:pPr>
              <w:widowControl w:val="0"/>
              <w:jc w:val="both"/>
              <w:rPr>
                <w:color w:val="000000"/>
                <w:sz w:val="24"/>
                <w:szCs w:val="24"/>
              </w:rPr>
            </w:pPr>
            <w:r w:rsidRPr="00930642">
              <w:rPr>
                <w:color w:val="000000"/>
                <w:sz w:val="24"/>
                <w:szCs w:val="24"/>
              </w:rPr>
              <w:t>% от разрешённых дел</w:t>
            </w:r>
          </w:p>
        </w:tc>
      </w:tr>
      <w:tr w:rsidR="00930642" w:rsidRPr="00930642">
        <w:trPr>
          <w:tblCellSpacing w:w="15" w:type="dxa"/>
        </w:trPr>
        <w:tc>
          <w:tcPr>
            <w:tcW w:w="1230" w:type="dxa"/>
            <w:tcBorders>
              <w:top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1996</w:t>
            </w:r>
          </w:p>
        </w:tc>
        <w:tc>
          <w:tcPr>
            <w:tcW w:w="2250"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3164</w:t>
            </w:r>
          </w:p>
        </w:tc>
        <w:tc>
          <w:tcPr>
            <w:tcW w:w="2805"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72</w:t>
            </w:r>
          </w:p>
        </w:tc>
        <w:tc>
          <w:tcPr>
            <w:tcW w:w="2145" w:type="dxa"/>
            <w:tcBorders>
              <w:top w:val="outset" w:sz="6" w:space="0" w:color="auto"/>
              <w:left w:val="outset" w:sz="6" w:space="0" w:color="auto"/>
              <w:bottom w:val="outset" w:sz="6" w:space="0" w:color="auto"/>
            </w:tcBorders>
          </w:tcPr>
          <w:p w:rsidR="00930642" w:rsidRPr="00930642" w:rsidRDefault="00930642">
            <w:pPr>
              <w:widowControl w:val="0"/>
              <w:jc w:val="both"/>
              <w:rPr>
                <w:color w:val="000000"/>
                <w:sz w:val="24"/>
                <w:szCs w:val="24"/>
              </w:rPr>
            </w:pPr>
            <w:r w:rsidRPr="00930642">
              <w:rPr>
                <w:color w:val="000000"/>
                <w:sz w:val="24"/>
                <w:szCs w:val="24"/>
              </w:rPr>
              <w:t>2,2</w:t>
            </w:r>
          </w:p>
        </w:tc>
      </w:tr>
      <w:tr w:rsidR="00930642" w:rsidRPr="00930642">
        <w:trPr>
          <w:tblCellSpacing w:w="15" w:type="dxa"/>
        </w:trPr>
        <w:tc>
          <w:tcPr>
            <w:tcW w:w="1230" w:type="dxa"/>
            <w:tcBorders>
              <w:top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 xml:space="preserve">1997 </w:t>
            </w:r>
          </w:p>
        </w:tc>
        <w:tc>
          <w:tcPr>
            <w:tcW w:w="2250"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3344</w:t>
            </w:r>
          </w:p>
        </w:tc>
        <w:tc>
          <w:tcPr>
            <w:tcW w:w="2805"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107</w:t>
            </w:r>
          </w:p>
        </w:tc>
        <w:tc>
          <w:tcPr>
            <w:tcW w:w="2145" w:type="dxa"/>
            <w:tcBorders>
              <w:top w:val="outset" w:sz="6" w:space="0" w:color="auto"/>
              <w:left w:val="outset" w:sz="6" w:space="0" w:color="auto"/>
              <w:bottom w:val="outset" w:sz="6" w:space="0" w:color="auto"/>
            </w:tcBorders>
          </w:tcPr>
          <w:p w:rsidR="00930642" w:rsidRPr="00930642" w:rsidRDefault="00930642">
            <w:pPr>
              <w:widowControl w:val="0"/>
              <w:jc w:val="both"/>
              <w:rPr>
                <w:color w:val="000000"/>
                <w:sz w:val="24"/>
                <w:szCs w:val="24"/>
              </w:rPr>
            </w:pPr>
            <w:r w:rsidRPr="00930642">
              <w:rPr>
                <w:color w:val="000000"/>
                <w:sz w:val="24"/>
                <w:szCs w:val="24"/>
              </w:rPr>
              <w:t>3,2</w:t>
            </w:r>
          </w:p>
        </w:tc>
      </w:tr>
      <w:tr w:rsidR="00930642" w:rsidRPr="00930642">
        <w:trPr>
          <w:tblCellSpacing w:w="15" w:type="dxa"/>
        </w:trPr>
        <w:tc>
          <w:tcPr>
            <w:tcW w:w="1230" w:type="dxa"/>
            <w:tcBorders>
              <w:top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1998</w:t>
            </w:r>
          </w:p>
        </w:tc>
        <w:tc>
          <w:tcPr>
            <w:tcW w:w="2250"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5127</w:t>
            </w:r>
          </w:p>
        </w:tc>
        <w:tc>
          <w:tcPr>
            <w:tcW w:w="2805"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325</w:t>
            </w:r>
          </w:p>
        </w:tc>
        <w:tc>
          <w:tcPr>
            <w:tcW w:w="2145" w:type="dxa"/>
            <w:tcBorders>
              <w:top w:val="outset" w:sz="6" w:space="0" w:color="auto"/>
              <w:left w:val="outset" w:sz="6" w:space="0" w:color="auto"/>
              <w:bottom w:val="outset" w:sz="6" w:space="0" w:color="auto"/>
            </w:tcBorders>
          </w:tcPr>
          <w:p w:rsidR="00930642" w:rsidRPr="00930642" w:rsidRDefault="00930642">
            <w:pPr>
              <w:widowControl w:val="0"/>
              <w:jc w:val="both"/>
              <w:rPr>
                <w:color w:val="000000"/>
                <w:sz w:val="24"/>
                <w:szCs w:val="24"/>
              </w:rPr>
            </w:pPr>
            <w:r w:rsidRPr="00930642">
              <w:rPr>
                <w:color w:val="000000"/>
                <w:sz w:val="24"/>
                <w:szCs w:val="24"/>
              </w:rPr>
              <w:t>6,34</w:t>
            </w:r>
          </w:p>
        </w:tc>
      </w:tr>
      <w:tr w:rsidR="00930642" w:rsidRPr="00930642">
        <w:trPr>
          <w:tblCellSpacing w:w="15" w:type="dxa"/>
        </w:trPr>
        <w:tc>
          <w:tcPr>
            <w:tcW w:w="1230" w:type="dxa"/>
            <w:tcBorders>
              <w:top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1999</w:t>
            </w:r>
          </w:p>
        </w:tc>
        <w:tc>
          <w:tcPr>
            <w:tcW w:w="2250"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5520</w:t>
            </w:r>
          </w:p>
        </w:tc>
        <w:tc>
          <w:tcPr>
            <w:tcW w:w="2805"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463</w:t>
            </w:r>
          </w:p>
        </w:tc>
        <w:tc>
          <w:tcPr>
            <w:tcW w:w="2145" w:type="dxa"/>
            <w:tcBorders>
              <w:top w:val="outset" w:sz="6" w:space="0" w:color="auto"/>
              <w:left w:val="outset" w:sz="6" w:space="0" w:color="auto"/>
              <w:bottom w:val="outset" w:sz="6" w:space="0" w:color="auto"/>
            </w:tcBorders>
          </w:tcPr>
          <w:p w:rsidR="00930642" w:rsidRPr="00930642" w:rsidRDefault="00930642">
            <w:pPr>
              <w:widowControl w:val="0"/>
              <w:jc w:val="both"/>
              <w:rPr>
                <w:color w:val="000000"/>
                <w:sz w:val="24"/>
                <w:szCs w:val="24"/>
              </w:rPr>
            </w:pPr>
            <w:r w:rsidRPr="00930642">
              <w:rPr>
                <w:color w:val="000000"/>
                <w:sz w:val="24"/>
                <w:szCs w:val="24"/>
              </w:rPr>
              <w:t>8,4</w:t>
            </w:r>
          </w:p>
        </w:tc>
      </w:tr>
      <w:tr w:rsidR="00930642" w:rsidRPr="00930642">
        <w:trPr>
          <w:tblCellSpacing w:w="15" w:type="dxa"/>
        </w:trPr>
        <w:tc>
          <w:tcPr>
            <w:tcW w:w="1230" w:type="dxa"/>
            <w:tcBorders>
              <w:top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2000</w:t>
            </w:r>
          </w:p>
        </w:tc>
        <w:tc>
          <w:tcPr>
            <w:tcW w:w="2250"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6696</w:t>
            </w:r>
          </w:p>
        </w:tc>
        <w:tc>
          <w:tcPr>
            <w:tcW w:w="2805" w:type="dxa"/>
            <w:tcBorders>
              <w:top w:val="outset" w:sz="6" w:space="0" w:color="auto"/>
              <w:left w:val="outset" w:sz="6" w:space="0" w:color="auto"/>
              <w:bottom w:val="outset" w:sz="6" w:space="0" w:color="auto"/>
              <w:right w:val="outset" w:sz="6" w:space="0" w:color="auto"/>
            </w:tcBorders>
          </w:tcPr>
          <w:p w:rsidR="00930642" w:rsidRPr="00930642" w:rsidRDefault="00930642">
            <w:pPr>
              <w:widowControl w:val="0"/>
              <w:jc w:val="both"/>
              <w:rPr>
                <w:color w:val="000000"/>
                <w:sz w:val="24"/>
                <w:szCs w:val="24"/>
              </w:rPr>
            </w:pPr>
            <w:r w:rsidRPr="00930642">
              <w:rPr>
                <w:color w:val="000000"/>
                <w:sz w:val="24"/>
                <w:szCs w:val="24"/>
              </w:rPr>
              <w:t>368</w:t>
            </w:r>
          </w:p>
        </w:tc>
        <w:tc>
          <w:tcPr>
            <w:tcW w:w="2145" w:type="dxa"/>
            <w:tcBorders>
              <w:top w:val="outset" w:sz="6" w:space="0" w:color="auto"/>
              <w:left w:val="outset" w:sz="6" w:space="0" w:color="auto"/>
              <w:bottom w:val="outset" w:sz="6" w:space="0" w:color="auto"/>
            </w:tcBorders>
          </w:tcPr>
          <w:p w:rsidR="00930642" w:rsidRPr="00930642" w:rsidRDefault="00930642">
            <w:pPr>
              <w:widowControl w:val="0"/>
              <w:jc w:val="both"/>
              <w:rPr>
                <w:color w:val="000000"/>
                <w:sz w:val="24"/>
                <w:szCs w:val="24"/>
              </w:rPr>
            </w:pPr>
            <w:r w:rsidRPr="00930642">
              <w:rPr>
                <w:color w:val="000000"/>
                <w:sz w:val="24"/>
                <w:szCs w:val="24"/>
              </w:rPr>
              <w:t>5,5</w:t>
            </w:r>
          </w:p>
        </w:tc>
      </w:tr>
    </w:tbl>
    <w:p w:rsidR="00930642" w:rsidRDefault="00930642">
      <w:pPr>
        <w:widowControl w:val="0"/>
        <w:spacing w:before="120"/>
        <w:ind w:firstLine="567"/>
        <w:jc w:val="both"/>
        <w:rPr>
          <w:color w:val="000000"/>
          <w:sz w:val="24"/>
          <w:szCs w:val="24"/>
        </w:rPr>
      </w:pPr>
    </w:p>
    <w:p w:rsidR="00930642" w:rsidRDefault="00930642">
      <w:pPr>
        <w:widowControl w:val="0"/>
        <w:spacing w:before="120"/>
        <w:ind w:firstLine="567"/>
        <w:jc w:val="both"/>
        <w:rPr>
          <w:color w:val="000000"/>
          <w:sz w:val="24"/>
          <w:szCs w:val="24"/>
        </w:rPr>
      </w:pPr>
      <w:r>
        <w:rPr>
          <w:color w:val="000000"/>
          <w:sz w:val="24"/>
          <w:szCs w:val="24"/>
        </w:rPr>
        <w:t>Приведённые данные репрезентативны и показывают, что количество дел с заключением мирового соглашения увеличивается, и это учитывая, что не многие судьи принимают активные действия к примирению сторон. Значительная часть таких дел могла бы быть разрешена ещё до начала судебного разбирательства, но судья не наделён правом утверждать мировое соглашение в стадии подготовки дела к судебному разбирательству и действующее законодательство не предусматривает проведения отдельной примирительной процедуры в стадии подготовки.</w:t>
      </w:r>
    </w:p>
    <w:p w:rsidR="00930642" w:rsidRDefault="00930642">
      <w:pPr>
        <w:widowControl w:val="0"/>
        <w:spacing w:before="120"/>
        <w:ind w:firstLine="567"/>
        <w:jc w:val="both"/>
        <w:rPr>
          <w:color w:val="000000"/>
          <w:sz w:val="24"/>
          <w:szCs w:val="24"/>
        </w:rPr>
      </w:pPr>
      <w:r>
        <w:rPr>
          <w:color w:val="000000"/>
          <w:sz w:val="24"/>
          <w:szCs w:val="24"/>
        </w:rPr>
        <w:t xml:space="preserve">Интересно, что опыт зарубежных стран свидельствует об эффективности досудебного урегулирования споров </w:t>
      </w:r>
      <w:r>
        <w:rPr>
          <w:color w:val="000000"/>
          <w:sz w:val="24"/>
          <w:szCs w:val="24"/>
          <w:vertAlign w:val="superscript"/>
        </w:rPr>
        <w:t>[23]</w:t>
      </w:r>
      <w:r>
        <w:rPr>
          <w:color w:val="000000"/>
          <w:sz w:val="24"/>
          <w:szCs w:val="24"/>
        </w:rPr>
        <w:t xml:space="preserve">, хотя зарубежные правовые системы обладают значительным набором различных досудебных процедур помимо примирения, тем не менее, если и используются примирительные процедуры, то более 50% дел заканчиваются примирением и не доходят до разбирательства дел по существу </w:t>
      </w:r>
      <w:r>
        <w:rPr>
          <w:color w:val="000000"/>
          <w:sz w:val="24"/>
          <w:szCs w:val="24"/>
          <w:vertAlign w:val="superscript"/>
        </w:rPr>
        <w:t>[24]</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 xml:space="preserve">Более того, в связи с вступлением России в Совет Европы в 1996г. есть необходимость изменения российского законодательства, в том числе процессуального </w:t>
      </w:r>
      <w:r>
        <w:rPr>
          <w:color w:val="000000"/>
          <w:sz w:val="24"/>
          <w:szCs w:val="24"/>
          <w:vertAlign w:val="superscript"/>
        </w:rPr>
        <w:t>[25]</w:t>
      </w:r>
      <w:r>
        <w:rPr>
          <w:color w:val="000000"/>
          <w:sz w:val="24"/>
          <w:szCs w:val="24"/>
        </w:rPr>
        <w:t xml:space="preserve">. Существует ряд рекомендаций о приведении законодательства РФ в соответствие с европейским правом, и с этими рекомендациями российские законодатели не могут не считаться. Так, в рекомендациях Комитета министров Совета Европы – государствам-членам Совета Европы есть следующие положения </w:t>
      </w:r>
      <w:r>
        <w:rPr>
          <w:color w:val="000000"/>
          <w:sz w:val="24"/>
          <w:szCs w:val="24"/>
          <w:vertAlign w:val="superscript"/>
        </w:rPr>
        <w:t>[26]</w:t>
      </w:r>
      <w:r>
        <w:rPr>
          <w:color w:val="000000"/>
          <w:sz w:val="24"/>
          <w:szCs w:val="24"/>
        </w:rPr>
        <w:t>:</w:t>
      </w:r>
    </w:p>
    <w:p w:rsidR="00930642" w:rsidRDefault="00930642">
      <w:pPr>
        <w:widowControl w:val="0"/>
        <w:spacing w:before="120"/>
        <w:ind w:firstLine="567"/>
        <w:jc w:val="both"/>
        <w:rPr>
          <w:color w:val="000000"/>
          <w:sz w:val="24"/>
          <w:szCs w:val="24"/>
        </w:rPr>
      </w:pPr>
      <w:r>
        <w:rPr>
          <w:color w:val="000000"/>
          <w:sz w:val="24"/>
          <w:szCs w:val="24"/>
        </w:rPr>
        <w:t>- следует принимать меры примирения сторон или дружественного урегулирования спора до принятия его к производству или же в ходе разбирательства;</w:t>
      </w:r>
    </w:p>
    <w:p w:rsidR="00930642" w:rsidRDefault="00930642">
      <w:pPr>
        <w:widowControl w:val="0"/>
        <w:spacing w:before="120"/>
        <w:ind w:firstLine="567"/>
        <w:jc w:val="both"/>
        <w:rPr>
          <w:color w:val="000000"/>
          <w:sz w:val="24"/>
          <w:szCs w:val="24"/>
        </w:rPr>
      </w:pPr>
      <w:r>
        <w:rPr>
          <w:color w:val="000000"/>
          <w:sz w:val="24"/>
          <w:szCs w:val="24"/>
        </w:rPr>
        <w:t>- содействовать, где это необходимо, примирению сторон, как вне судебной системы, так до или в ходе судебного разбирательства;</w:t>
      </w:r>
    </w:p>
    <w:p w:rsidR="00930642" w:rsidRDefault="00930642">
      <w:pPr>
        <w:widowControl w:val="0"/>
        <w:spacing w:before="120"/>
        <w:ind w:firstLine="567"/>
        <w:jc w:val="both"/>
        <w:rPr>
          <w:color w:val="000000"/>
          <w:sz w:val="24"/>
          <w:szCs w:val="24"/>
        </w:rPr>
      </w:pPr>
      <w:r>
        <w:rPr>
          <w:color w:val="000000"/>
          <w:sz w:val="24"/>
          <w:szCs w:val="24"/>
        </w:rPr>
        <w:t>- предусмотреть процедуры примирения до судебного разбирательства;</w:t>
      </w:r>
    </w:p>
    <w:p w:rsidR="00930642" w:rsidRDefault="00930642">
      <w:pPr>
        <w:widowControl w:val="0"/>
        <w:spacing w:before="120"/>
        <w:ind w:firstLine="567"/>
        <w:jc w:val="both"/>
        <w:rPr>
          <w:color w:val="000000"/>
          <w:sz w:val="24"/>
          <w:szCs w:val="24"/>
        </w:rPr>
      </w:pPr>
      <w:r>
        <w:rPr>
          <w:color w:val="000000"/>
          <w:sz w:val="24"/>
          <w:szCs w:val="24"/>
        </w:rPr>
        <w:t>- возложить на судей в качестве одной из основных задач ответственность добиваться примирения сторон и заключения мирового соглашения до начала ... судебного разбирательства;</w:t>
      </w:r>
    </w:p>
    <w:p w:rsidR="00930642" w:rsidRDefault="00930642">
      <w:pPr>
        <w:widowControl w:val="0"/>
        <w:spacing w:before="120"/>
        <w:ind w:firstLine="567"/>
        <w:jc w:val="both"/>
        <w:rPr>
          <w:color w:val="000000"/>
          <w:sz w:val="24"/>
          <w:szCs w:val="24"/>
        </w:rPr>
      </w:pPr>
      <w:r>
        <w:rPr>
          <w:color w:val="000000"/>
          <w:sz w:val="24"/>
          <w:szCs w:val="24"/>
        </w:rPr>
        <w:t>- считать этическим долгом адвокатов или предложить компетентным органам признать в качестве такового принцип, согласно которому адвокаты должны добиваться примирения сторон до начала судебного разбирательства или на любой стадии разбирательства.</w:t>
      </w:r>
    </w:p>
    <w:p w:rsidR="00930642" w:rsidRDefault="00930642">
      <w:pPr>
        <w:widowControl w:val="0"/>
        <w:spacing w:before="120"/>
        <w:ind w:firstLine="567"/>
        <w:jc w:val="both"/>
        <w:rPr>
          <w:color w:val="000000"/>
          <w:sz w:val="24"/>
          <w:szCs w:val="24"/>
        </w:rPr>
      </w:pPr>
      <w:r>
        <w:rPr>
          <w:color w:val="000000"/>
          <w:sz w:val="24"/>
          <w:szCs w:val="24"/>
        </w:rPr>
        <w:t xml:space="preserve">Значение примирительных процедур в стадии подготовки дела к судебному разбирательству очевидно. В проекте нового АПК РФ подробно регламентировано арбитражное урегулирование спора, которое осуществляется в стадии подготовки дела и основной целью которого является примирение сторон. </w:t>
      </w:r>
    </w:p>
    <w:p w:rsidR="00930642" w:rsidRDefault="00930642">
      <w:pPr>
        <w:widowControl w:val="0"/>
        <w:spacing w:before="120"/>
        <w:jc w:val="center"/>
        <w:rPr>
          <w:b/>
          <w:bCs/>
          <w:color w:val="000000"/>
          <w:sz w:val="28"/>
          <w:szCs w:val="28"/>
        </w:rPr>
      </w:pPr>
      <w:r>
        <w:rPr>
          <w:b/>
          <w:bCs/>
          <w:color w:val="000000"/>
          <w:sz w:val="28"/>
          <w:szCs w:val="28"/>
        </w:rPr>
        <w:t>Список литературы</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w:t>
      </w:r>
      <w:r>
        <w:rPr>
          <w:color w:val="000000"/>
          <w:sz w:val="24"/>
          <w:szCs w:val="24"/>
        </w:rPr>
        <w:t xml:space="preserve"> Решетникова И.В., Ярков В.В. Гражданское право и гражданский процесс в современно России. Екатеринбург-Москва, 1999. С.30.</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[2]</w:t>
      </w:r>
      <w:r>
        <w:rPr>
          <w:color w:val="000000"/>
          <w:sz w:val="24"/>
          <w:szCs w:val="24"/>
        </w:rPr>
        <w:t xml:space="preserve"> См.: Грось Л. Мировое соглашение в гражданском судопроизводстве // Российская юстиция.1996. №12. С.40.</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[3]</w:t>
      </w:r>
      <w:r>
        <w:rPr>
          <w:color w:val="000000"/>
          <w:sz w:val="24"/>
          <w:szCs w:val="24"/>
        </w:rPr>
        <w:t xml:space="preserve"> См.: Носырева Е.И. Примирение в гражданском судопроизводстве России: конец XIX и конец XX веков // Юридические записки / Воронежск. гос. ун-т. Вып.11: Гражданское право и гражданский процесс: От истории к современности / Под ред. Е.И Носыревой. Воронеж, 2000. С.114.</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[4]</w:t>
      </w:r>
      <w:r>
        <w:rPr>
          <w:color w:val="000000"/>
          <w:sz w:val="24"/>
          <w:szCs w:val="24"/>
        </w:rPr>
        <w:t xml:space="preserve"> См.: Андреева Т. Обеспечение доступа к правосудию – главная задача совершенствования Арбитражного процессуального кодекса Российской Федерации // Хозяйство и право. 2000. №9. С.26.</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[5]</w:t>
      </w:r>
      <w:r>
        <w:rPr>
          <w:color w:val="000000"/>
          <w:sz w:val="24"/>
          <w:szCs w:val="24"/>
        </w:rPr>
        <w:t xml:space="preserve"> См.: Фурсов Д. Претензионный и внесудебный порядок урегулирования споров // Хозяйство и право.1995. №5. С.113.</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[6]</w:t>
      </w:r>
      <w:r>
        <w:rPr>
          <w:color w:val="000000"/>
          <w:sz w:val="24"/>
          <w:szCs w:val="24"/>
        </w:rPr>
        <w:t xml:space="preserve"> См.: Моисеев С. Мировое соглашение в арбитражном судопроизводстве // Российская юстиция.1999. №10. С.22-23.</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[7]</w:t>
      </w:r>
      <w:r>
        <w:rPr>
          <w:color w:val="000000"/>
          <w:sz w:val="24"/>
          <w:szCs w:val="24"/>
        </w:rPr>
        <w:t xml:space="preserve"> См.: Фурсов Д. Претензионный и внесудебный порядок ... С.113.</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[8]</w:t>
      </w:r>
      <w:r>
        <w:rPr>
          <w:color w:val="000000"/>
          <w:sz w:val="24"/>
          <w:szCs w:val="24"/>
        </w:rPr>
        <w:t xml:space="preserve"> См.: Там же. С. 113.</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[9]</w:t>
      </w:r>
      <w:r>
        <w:rPr>
          <w:color w:val="000000"/>
          <w:sz w:val="24"/>
          <w:szCs w:val="24"/>
        </w:rPr>
        <w:t xml:space="preserve"> См.: Толоконников А. Мировое соглашение как институт процессуального права //</w:t>
      </w:r>
    </w:p>
    <w:p w:rsidR="00930642" w:rsidRDefault="00930642">
      <w:pPr>
        <w:widowControl w:val="0"/>
        <w:spacing w:before="120"/>
        <w:ind w:firstLine="567"/>
        <w:jc w:val="both"/>
        <w:rPr>
          <w:color w:val="000000"/>
          <w:sz w:val="24"/>
          <w:szCs w:val="24"/>
        </w:rPr>
      </w:pPr>
      <w:r>
        <w:rPr>
          <w:color w:val="000000"/>
          <w:sz w:val="24"/>
          <w:szCs w:val="24"/>
        </w:rPr>
        <w:t xml:space="preserve"> http://LawyerClub.kodeks.net/docs/arbitration/article5.html </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[10]</w:t>
      </w:r>
      <w:r>
        <w:rPr>
          <w:color w:val="000000"/>
          <w:sz w:val="24"/>
          <w:szCs w:val="24"/>
        </w:rPr>
        <w:t xml:space="preserve"> См.: Шерстюк В.М. Комментарий к постановления Пленума Высшего Арбитражного суда Российской Федерации по вопросам арбитражного процессуального права. М., 2000. С.47.</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[11]</w:t>
      </w:r>
      <w:r>
        <w:rPr>
          <w:color w:val="000000"/>
          <w:sz w:val="24"/>
          <w:szCs w:val="24"/>
        </w:rPr>
        <w:t xml:space="preserve"> См.: Фурсов Д. Указ. соч. С.113.</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[12]</w:t>
      </w:r>
      <w:r>
        <w:rPr>
          <w:color w:val="000000"/>
          <w:sz w:val="24"/>
          <w:szCs w:val="24"/>
        </w:rPr>
        <w:t xml:space="preserve"> См.: Носырева Е.И. Примирение в гражданском судопроизводстве ... С.125.</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[13]</w:t>
      </w:r>
      <w:r>
        <w:rPr>
          <w:color w:val="000000"/>
          <w:sz w:val="24"/>
          <w:szCs w:val="24"/>
        </w:rPr>
        <w:t xml:space="preserve"> См.: Радченко М. Арбитражные споры. М., 1998. С.116.</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[14]</w:t>
      </w:r>
      <w:r>
        <w:rPr>
          <w:color w:val="000000"/>
          <w:sz w:val="24"/>
          <w:szCs w:val="24"/>
        </w:rPr>
        <w:t xml:space="preserve"> См.: Носырева Е.И. О концепции примирительного производства в суде // Российское государство и правовая система: современное развитие, проблемы, перспективы. Воронеж, 1999. С. 667.</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[15]</w:t>
      </w:r>
      <w:r>
        <w:rPr>
          <w:color w:val="000000"/>
          <w:sz w:val="24"/>
          <w:szCs w:val="24"/>
        </w:rPr>
        <w:t xml:space="preserve"> См.: Моисеев С. Мировое соглашение ... С.22-23.</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[16]</w:t>
      </w:r>
      <w:r>
        <w:rPr>
          <w:color w:val="000000"/>
          <w:sz w:val="24"/>
          <w:szCs w:val="24"/>
        </w:rPr>
        <w:t xml:space="preserve"> См.: Носырева Е.И. Экономические споры: суд, арбитраж или примирение // Государство и право.1998. №9. С.17-18.</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[17]</w:t>
      </w:r>
      <w:r>
        <w:rPr>
          <w:color w:val="000000"/>
          <w:sz w:val="24"/>
          <w:szCs w:val="24"/>
        </w:rPr>
        <w:t xml:space="preserve"> См.: Шерстюк В.М. Комментарий к постановлениям ... С.48.</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[18]</w:t>
      </w:r>
      <w:r>
        <w:rPr>
          <w:color w:val="000000"/>
          <w:sz w:val="24"/>
          <w:szCs w:val="24"/>
        </w:rPr>
        <w:t xml:space="preserve"> См.: Тараненко В.Ф. Принципы арбитражного процесса. М., 1988. С.53-59.</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[19]</w:t>
      </w:r>
      <w:r>
        <w:rPr>
          <w:color w:val="000000"/>
          <w:sz w:val="24"/>
          <w:szCs w:val="24"/>
        </w:rPr>
        <w:t xml:space="preserve"> См.: Там же. С.55.</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[20]</w:t>
      </w:r>
      <w:r>
        <w:rPr>
          <w:color w:val="000000"/>
          <w:sz w:val="24"/>
          <w:szCs w:val="24"/>
        </w:rPr>
        <w:t xml:space="preserve"> См.: Абова Т.Е. Арбитражный процесс в СССР: понятие, основные принципы. М., 1985. С.115.</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[21]</w:t>
      </w:r>
      <w:r>
        <w:rPr>
          <w:color w:val="000000"/>
          <w:sz w:val="24"/>
          <w:szCs w:val="24"/>
        </w:rPr>
        <w:t xml:space="preserve"> См., например: Завидов Б. Арбитражный процессуальный кодекс: основные идеи и принципы // Российская юстиция. 1996. №3. С.37.</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[22]</w:t>
      </w:r>
      <w:r>
        <w:rPr>
          <w:color w:val="000000"/>
          <w:sz w:val="24"/>
          <w:szCs w:val="24"/>
        </w:rPr>
        <w:t xml:space="preserve"> См., например: Амосов С. Бремя доказывания в арбитражном процессе // Российская юстиция. 1998. №5. С.22; Доклад Председателя Высшего Арбитражного Суда Российской Федерации В.Ф. Яковлева на V Всероссийском съезде судей // Вестник ВАС РФ. 2001. №1. С.14. </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[23]</w:t>
      </w:r>
      <w:r>
        <w:rPr>
          <w:color w:val="000000"/>
          <w:sz w:val="24"/>
          <w:szCs w:val="24"/>
        </w:rPr>
        <w:t xml:space="preserve"> См. подробнее об этом: Носырева Е.И. Альтернативное разрешение гражданско-правовых споров в США. Воронеж, 1999. 221с.</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[24]</w:t>
      </w:r>
      <w:r>
        <w:rPr>
          <w:color w:val="000000"/>
          <w:sz w:val="24"/>
          <w:szCs w:val="24"/>
        </w:rPr>
        <w:t xml:space="preserve"> См.: Яковлев В. Нам следует сохранить сложившуюся судебную систему // Российская юстиция. 2001. №1. С.7.</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[25]</w:t>
      </w:r>
      <w:r>
        <w:rPr>
          <w:color w:val="000000"/>
          <w:sz w:val="24"/>
          <w:szCs w:val="24"/>
        </w:rPr>
        <w:t xml:space="preserve"> См.: Яковлев В. О повышении роли арбитражных судов в сферах правопорядка и экономики // Хозяйство и право. 2000. №6. С.7.</w:t>
      </w:r>
    </w:p>
    <w:p w:rsidR="00930642" w:rsidRDefault="00930642">
      <w:pPr>
        <w:widowControl w:val="0"/>
        <w:spacing w:before="120"/>
        <w:ind w:firstLine="567"/>
        <w:jc w:val="both"/>
        <w:rPr>
          <w:color w:val="000000"/>
          <w:sz w:val="24"/>
          <w:szCs w:val="24"/>
        </w:rPr>
      </w:pPr>
      <w:r>
        <w:rPr>
          <w:color w:val="000000"/>
          <w:sz w:val="24"/>
          <w:szCs w:val="24"/>
          <w:vertAlign w:val="superscript"/>
        </w:rPr>
        <w:t xml:space="preserve"> [26]</w:t>
      </w:r>
      <w:r>
        <w:rPr>
          <w:color w:val="000000"/>
          <w:sz w:val="24"/>
          <w:szCs w:val="24"/>
        </w:rPr>
        <w:t xml:space="preserve"> См.: Доступ к правосудию. Рекомендации Комитета министров Совета Европы – государствам-членам Совета Европы // Российская юстиция.1997. №6. С.7, №7. С8. </w:t>
      </w:r>
      <w:bookmarkStart w:id="0" w:name="_GoBack"/>
      <w:bookmarkEnd w:id="0"/>
    </w:p>
    <w:sectPr w:rsidR="0093064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B04D12"/>
    <w:multiLevelType w:val="hybridMultilevel"/>
    <w:tmpl w:val="EBDA9696"/>
    <w:lvl w:ilvl="0" w:tplc="632E3CEA">
      <w:start w:val="1"/>
      <w:numFmt w:val="decimal"/>
      <w:lvlText w:val="%1."/>
      <w:lvlJc w:val="left"/>
      <w:pPr>
        <w:tabs>
          <w:tab w:val="num" w:pos="720"/>
        </w:tabs>
        <w:ind w:left="720" w:hanging="360"/>
      </w:pPr>
    </w:lvl>
    <w:lvl w:ilvl="1" w:tplc="709A4C04">
      <w:start w:val="1"/>
      <w:numFmt w:val="decimal"/>
      <w:lvlText w:val="%2."/>
      <w:lvlJc w:val="left"/>
      <w:pPr>
        <w:tabs>
          <w:tab w:val="num" w:pos="1440"/>
        </w:tabs>
        <w:ind w:left="1440" w:hanging="360"/>
      </w:pPr>
    </w:lvl>
    <w:lvl w:ilvl="2" w:tplc="A79EC78E">
      <w:start w:val="1"/>
      <w:numFmt w:val="decimal"/>
      <w:lvlText w:val="%3."/>
      <w:lvlJc w:val="left"/>
      <w:pPr>
        <w:tabs>
          <w:tab w:val="num" w:pos="2160"/>
        </w:tabs>
        <w:ind w:left="2160" w:hanging="360"/>
      </w:pPr>
    </w:lvl>
    <w:lvl w:ilvl="3" w:tplc="4586BA94">
      <w:start w:val="1"/>
      <w:numFmt w:val="decimal"/>
      <w:lvlText w:val="%4."/>
      <w:lvlJc w:val="left"/>
      <w:pPr>
        <w:tabs>
          <w:tab w:val="num" w:pos="2880"/>
        </w:tabs>
        <w:ind w:left="2880" w:hanging="360"/>
      </w:pPr>
    </w:lvl>
    <w:lvl w:ilvl="4" w:tplc="59AEFF60">
      <w:start w:val="1"/>
      <w:numFmt w:val="decimal"/>
      <w:lvlText w:val="%5."/>
      <w:lvlJc w:val="left"/>
      <w:pPr>
        <w:tabs>
          <w:tab w:val="num" w:pos="3600"/>
        </w:tabs>
        <w:ind w:left="3600" w:hanging="360"/>
      </w:pPr>
    </w:lvl>
    <w:lvl w:ilvl="5" w:tplc="A48C2E08">
      <w:start w:val="1"/>
      <w:numFmt w:val="decimal"/>
      <w:lvlText w:val="%6."/>
      <w:lvlJc w:val="left"/>
      <w:pPr>
        <w:tabs>
          <w:tab w:val="num" w:pos="4320"/>
        </w:tabs>
        <w:ind w:left="4320" w:hanging="360"/>
      </w:pPr>
    </w:lvl>
    <w:lvl w:ilvl="6" w:tplc="5C8CDBAA">
      <w:start w:val="1"/>
      <w:numFmt w:val="decimal"/>
      <w:lvlText w:val="%7."/>
      <w:lvlJc w:val="left"/>
      <w:pPr>
        <w:tabs>
          <w:tab w:val="num" w:pos="5040"/>
        </w:tabs>
        <w:ind w:left="5040" w:hanging="360"/>
      </w:pPr>
    </w:lvl>
    <w:lvl w:ilvl="7" w:tplc="BE5EAAEE">
      <w:start w:val="1"/>
      <w:numFmt w:val="decimal"/>
      <w:lvlText w:val="%8."/>
      <w:lvlJc w:val="left"/>
      <w:pPr>
        <w:tabs>
          <w:tab w:val="num" w:pos="5760"/>
        </w:tabs>
        <w:ind w:left="5760" w:hanging="360"/>
      </w:pPr>
    </w:lvl>
    <w:lvl w:ilvl="8" w:tplc="176E1D40">
      <w:start w:val="1"/>
      <w:numFmt w:val="decimal"/>
      <w:lvlText w:val="%9."/>
      <w:lvlJc w:val="left"/>
      <w:pPr>
        <w:tabs>
          <w:tab w:val="num" w:pos="6480"/>
        </w:tabs>
        <w:ind w:left="6480" w:hanging="360"/>
      </w:pPr>
    </w:lvl>
  </w:abstractNum>
  <w:abstractNum w:abstractNumId="1">
    <w:nsid w:val="11521CCC"/>
    <w:multiLevelType w:val="hybridMultilevel"/>
    <w:tmpl w:val="FF70383C"/>
    <w:lvl w:ilvl="0" w:tplc="DCBA78D0">
      <w:start w:val="1"/>
      <w:numFmt w:val="decimal"/>
      <w:lvlText w:val="%1."/>
      <w:lvlJc w:val="left"/>
      <w:pPr>
        <w:tabs>
          <w:tab w:val="num" w:pos="720"/>
        </w:tabs>
        <w:ind w:left="720" w:hanging="360"/>
      </w:pPr>
    </w:lvl>
    <w:lvl w:ilvl="1" w:tplc="22B853B6">
      <w:start w:val="1"/>
      <w:numFmt w:val="decimal"/>
      <w:lvlText w:val="%2."/>
      <w:lvlJc w:val="left"/>
      <w:pPr>
        <w:tabs>
          <w:tab w:val="num" w:pos="1440"/>
        </w:tabs>
        <w:ind w:left="1440" w:hanging="360"/>
      </w:pPr>
    </w:lvl>
    <w:lvl w:ilvl="2" w:tplc="E90E6792">
      <w:start w:val="1"/>
      <w:numFmt w:val="decimal"/>
      <w:lvlText w:val="%3."/>
      <w:lvlJc w:val="left"/>
      <w:pPr>
        <w:tabs>
          <w:tab w:val="num" w:pos="2160"/>
        </w:tabs>
        <w:ind w:left="2160" w:hanging="360"/>
      </w:pPr>
    </w:lvl>
    <w:lvl w:ilvl="3" w:tplc="AFCA6D50">
      <w:start w:val="1"/>
      <w:numFmt w:val="decimal"/>
      <w:lvlText w:val="%4."/>
      <w:lvlJc w:val="left"/>
      <w:pPr>
        <w:tabs>
          <w:tab w:val="num" w:pos="2880"/>
        </w:tabs>
        <w:ind w:left="2880" w:hanging="360"/>
      </w:pPr>
    </w:lvl>
    <w:lvl w:ilvl="4" w:tplc="F1ACEA76">
      <w:start w:val="1"/>
      <w:numFmt w:val="decimal"/>
      <w:lvlText w:val="%5."/>
      <w:lvlJc w:val="left"/>
      <w:pPr>
        <w:tabs>
          <w:tab w:val="num" w:pos="3600"/>
        </w:tabs>
        <w:ind w:left="3600" w:hanging="360"/>
      </w:pPr>
    </w:lvl>
    <w:lvl w:ilvl="5" w:tplc="67DA8592">
      <w:start w:val="1"/>
      <w:numFmt w:val="decimal"/>
      <w:lvlText w:val="%6."/>
      <w:lvlJc w:val="left"/>
      <w:pPr>
        <w:tabs>
          <w:tab w:val="num" w:pos="4320"/>
        </w:tabs>
        <w:ind w:left="4320" w:hanging="360"/>
      </w:pPr>
    </w:lvl>
    <w:lvl w:ilvl="6" w:tplc="BAFCFCFE">
      <w:start w:val="1"/>
      <w:numFmt w:val="decimal"/>
      <w:lvlText w:val="%7."/>
      <w:lvlJc w:val="left"/>
      <w:pPr>
        <w:tabs>
          <w:tab w:val="num" w:pos="5040"/>
        </w:tabs>
        <w:ind w:left="5040" w:hanging="360"/>
      </w:pPr>
    </w:lvl>
    <w:lvl w:ilvl="7" w:tplc="31060F26">
      <w:start w:val="1"/>
      <w:numFmt w:val="decimal"/>
      <w:lvlText w:val="%8."/>
      <w:lvlJc w:val="left"/>
      <w:pPr>
        <w:tabs>
          <w:tab w:val="num" w:pos="5760"/>
        </w:tabs>
        <w:ind w:left="5760" w:hanging="360"/>
      </w:pPr>
    </w:lvl>
    <w:lvl w:ilvl="8" w:tplc="90D0FE70">
      <w:start w:val="1"/>
      <w:numFmt w:val="decimal"/>
      <w:lvlText w:val="%9."/>
      <w:lvlJc w:val="left"/>
      <w:pPr>
        <w:tabs>
          <w:tab w:val="num" w:pos="6480"/>
        </w:tabs>
        <w:ind w:left="6480" w:hanging="360"/>
      </w:pPr>
    </w:lvl>
  </w:abstractNum>
  <w:abstractNum w:abstractNumId="2">
    <w:nsid w:val="14B92060"/>
    <w:multiLevelType w:val="hybridMultilevel"/>
    <w:tmpl w:val="69985936"/>
    <w:lvl w:ilvl="0" w:tplc="F34C507C">
      <w:start w:val="4"/>
      <w:numFmt w:val="decimal"/>
      <w:lvlText w:val="%1."/>
      <w:lvlJc w:val="left"/>
      <w:pPr>
        <w:tabs>
          <w:tab w:val="num" w:pos="720"/>
        </w:tabs>
        <w:ind w:left="720" w:hanging="360"/>
      </w:pPr>
    </w:lvl>
    <w:lvl w:ilvl="1" w:tplc="3F785168">
      <w:start w:val="1"/>
      <w:numFmt w:val="decimal"/>
      <w:lvlText w:val="%2."/>
      <w:lvlJc w:val="left"/>
      <w:pPr>
        <w:tabs>
          <w:tab w:val="num" w:pos="1440"/>
        </w:tabs>
        <w:ind w:left="1440" w:hanging="360"/>
      </w:pPr>
    </w:lvl>
    <w:lvl w:ilvl="2" w:tplc="5E925E28">
      <w:start w:val="1"/>
      <w:numFmt w:val="decimal"/>
      <w:lvlText w:val="%3."/>
      <w:lvlJc w:val="left"/>
      <w:pPr>
        <w:tabs>
          <w:tab w:val="num" w:pos="2160"/>
        </w:tabs>
        <w:ind w:left="2160" w:hanging="360"/>
      </w:pPr>
    </w:lvl>
    <w:lvl w:ilvl="3" w:tplc="B448E3FA">
      <w:start w:val="1"/>
      <w:numFmt w:val="decimal"/>
      <w:lvlText w:val="%4."/>
      <w:lvlJc w:val="left"/>
      <w:pPr>
        <w:tabs>
          <w:tab w:val="num" w:pos="2880"/>
        </w:tabs>
        <w:ind w:left="2880" w:hanging="360"/>
      </w:pPr>
    </w:lvl>
    <w:lvl w:ilvl="4" w:tplc="7F7AE326">
      <w:start w:val="1"/>
      <w:numFmt w:val="decimal"/>
      <w:lvlText w:val="%5."/>
      <w:lvlJc w:val="left"/>
      <w:pPr>
        <w:tabs>
          <w:tab w:val="num" w:pos="3600"/>
        </w:tabs>
        <w:ind w:left="3600" w:hanging="360"/>
      </w:pPr>
    </w:lvl>
    <w:lvl w:ilvl="5" w:tplc="BA9C88C4">
      <w:start w:val="1"/>
      <w:numFmt w:val="decimal"/>
      <w:lvlText w:val="%6."/>
      <w:lvlJc w:val="left"/>
      <w:pPr>
        <w:tabs>
          <w:tab w:val="num" w:pos="4320"/>
        </w:tabs>
        <w:ind w:left="4320" w:hanging="360"/>
      </w:pPr>
    </w:lvl>
    <w:lvl w:ilvl="6" w:tplc="3E34C814">
      <w:start w:val="1"/>
      <w:numFmt w:val="decimal"/>
      <w:lvlText w:val="%7."/>
      <w:lvlJc w:val="left"/>
      <w:pPr>
        <w:tabs>
          <w:tab w:val="num" w:pos="5040"/>
        </w:tabs>
        <w:ind w:left="5040" w:hanging="360"/>
      </w:pPr>
    </w:lvl>
    <w:lvl w:ilvl="7" w:tplc="24C28228">
      <w:start w:val="1"/>
      <w:numFmt w:val="decimal"/>
      <w:lvlText w:val="%8."/>
      <w:lvlJc w:val="left"/>
      <w:pPr>
        <w:tabs>
          <w:tab w:val="num" w:pos="5760"/>
        </w:tabs>
        <w:ind w:left="5760" w:hanging="360"/>
      </w:pPr>
    </w:lvl>
    <w:lvl w:ilvl="8" w:tplc="BB22A55A">
      <w:start w:val="1"/>
      <w:numFmt w:val="decimal"/>
      <w:lvlText w:val="%9."/>
      <w:lvlJc w:val="left"/>
      <w:pPr>
        <w:tabs>
          <w:tab w:val="num" w:pos="6480"/>
        </w:tabs>
        <w:ind w:left="6480" w:hanging="360"/>
      </w:pPr>
    </w:lvl>
  </w:abstractNum>
  <w:abstractNum w:abstractNumId="3">
    <w:nsid w:val="166F5A5F"/>
    <w:multiLevelType w:val="hybridMultilevel"/>
    <w:tmpl w:val="7D72239E"/>
    <w:lvl w:ilvl="0" w:tplc="CDC44DFE">
      <w:start w:val="1"/>
      <w:numFmt w:val="decimal"/>
      <w:lvlText w:val="%1."/>
      <w:lvlJc w:val="left"/>
      <w:pPr>
        <w:tabs>
          <w:tab w:val="num" w:pos="720"/>
        </w:tabs>
        <w:ind w:left="720" w:hanging="360"/>
      </w:pPr>
    </w:lvl>
    <w:lvl w:ilvl="1" w:tplc="6B669C30">
      <w:start w:val="1"/>
      <w:numFmt w:val="decimal"/>
      <w:lvlText w:val="%2."/>
      <w:lvlJc w:val="left"/>
      <w:pPr>
        <w:tabs>
          <w:tab w:val="num" w:pos="1440"/>
        </w:tabs>
        <w:ind w:left="1440" w:hanging="360"/>
      </w:pPr>
    </w:lvl>
    <w:lvl w:ilvl="2" w:tplc="7BC6E694">
      <w:start w:val="1"/>
      <w:numFmt w:val="decimal"/>
      <w:lvlText w:val="%3."/>
      <w:lvlJc w:val="left"/>
      <w:pPr>
        <w:tabs>
          <w:tab w:val="num" w:pos="2160"/>
        </w:tabs>
        <w:ind w:left="2160" w:hanging="360"/>
      </w:pPr>
    </w:lvl>
    <w:lvl w:ilvl="3" w:tplc="5832DF10">
      <w:start w:val="1"/>
      <w:numFmt w:val="decimal"/>
      <w:lvlText w:val="%4."/>
      <w:lvlJc w:val="left"/>
      <w:pPr>
        <w:tabs>
          <w:tab w:val="num" w:pos="2880"/>
        </w:tabs>
        <w:ind w:left="2880" w:hanging="360"/>
      </w:pPr>
    </w:lvl>
    <w:lvl w:ilvl="4" w:tplc="EC5284C4">
      <w:start w:val="1"/>
      <w:numFmt w:val="decimal"/>
      <w:lvlText w:val="%5."/>
      <w:lvlJc w:val="left"/>
      <w:pPr>
        <w:tabs>
          <w:tab w:val="num" w:pos="3600"/>
        </w:tabs>
        <w:ind w:left="3600" w:hanging="360"/>
      </w:pPr>
    </w:lvl>
    <w:lvl w:ilvl="5" w:tplc="D138CD54">
      <w:start w:val="1"/>
      <w:numFmt w:val="decimal"/>
      <w:lvlText w:val="%6."/>
      <w:lvlJc w:val="left"/>
      <w:pPr>
        <w:tabs>
          <w:tab w:val="num" w:pos="4320"/>
        </w:tabs>
        <w:ind w:left="4320" w:hanging="360"/>
      </w:pPr>
    </w:lvl>
    <w:lvl w:ilvl="6" w:tplc="CC28D1C0">
      <w:start w:val="1"/>
      <w:numFmt w:val="decimal"/>
      <w:lvlText w:val="%7."/>
      <w:lvlJc w:val="left"/>
      <w:pPr>
        <w:tabs>
          <w:tab w:val="num" w:pos="5040"/>
        </w:tabs>
        <w:ind w:left="5040" w:hanging="360"/>
      </w:pPr>
    </w:lvl>
    <w:lvl w:ilvl="7" w:tplc="630C569E">
      <w:start w:val="1"/>
      <w:numFmt w:val="decimal"/>
      <w:lvlText w:val="%8."/>
      <w:lvlJc w:val="left"/>
      <w:pPr>
        <w:tabs>
          <w:tab w:val="num" w:pos="5760"/>
        </w:tabs>
        <w:ind w:left="5760" w:hanging="360"/>
      </w:pPr>
    </w:lvl>
    <w:lvl w:ilvl="8" w:tplc="7F6E3D24">
      <w:start w:val="1"/>
      <w:numFmt w:val="decimal"/>
      <w:lvlText w:val="%9."/>
      <w:lvlJc w:val="left"/>
      <w:pPr>
        <w:tabs>
          <w:tab w:val="num" w:pos="6480"/>
        </w:tabs>
        <w:ind w:left="6480" w:hanging="360"/>
      </w:pPr>
    </w:lvl>
  </w:abstractNum>
  <w:abstractNum w:abstractNumId="4">
    <w:nsid w:val="23925C54"/>
    <w:multiLevelType w:val="hybridMultilevel"/>
    <w:tmpl w:val="81A2BF28"/>
    <w:lvl w:ilvl="0" w:tplc="1A64CB04">
      <w:start w:val="1"/>
      <w:numFmt w:val="bullet"/>
      <w:lvlText w:val=""/>
      <w:lvlJc w:val="left"/>
      <w:pPr>
        <w:tabs>
          <w:tab w:val="num" w:pos="720"/>
        </w:tabs>
        <w:ind w:left="720" w:hanging="360"/>
      </w:pPr>
      <w:rPr>
        <w:rFonts w:ascii="Symbol" w:hAnsi="Symbol" w:cs="Symbol" w:hint="default"/>
        <w:sz w:val="20"/>
        <w:szCs w:val="20"/>
      </w:rPr>
    </w:lvl>
    <w:lvl w:ilvl="1" w:tplc="EF4CFC36">
      <w:start w:val="1"/>
      <w:numFmt w:val="bullet"/>
      <w:lvlText w:val="o"/>
      <w:lvlJc w:val="left"/>
      <w:pPr>
        <w:tabs>
          <w:tab w:val="num" w:pos="1440"/>
        </w:tabs>
        <w:ind w:left="1440" w:hanging="360"/>
      </w:pPr>
      <w:rPr>
        <w:rFonts w:ascii="Courier New" w:hAnsi="Courier New" w:cs="Courier New" w:hint="default"/>
        <w:sz w:val="20"/>
        <w:szCs w:val="20"/>
      </w:rPr>
    </w:lvl>
    <w:lvl w:ilvl="2" w:tplc="5720C996">
      <w:start w:val="1"/>
      <w:numFmt w:val="bullet"/>
      <w:lvlText w:val=""/>
      <w:lvlJc w:val="left"/>
      <w:pPr>
        <w:tabs>
          <w:tab w:val="num" w:pos="2160"/>
        </w:tabs>
        <w:ind w:left="2160" w:hanging="360"/>
      </w:pPr>
      <w:rPr>
        <w:rFonts w:ascii="Wingdings" w:hAnsi="Wingdings" w:cs="Wingdings" w:hint="default"/>
        <w:sz w:val="20"/>
        <w:szCs w:val="20"/>
      </w:rPr>
    </w:lvl>
    <w:lvl w:ilvl="3" w:tplc="FCB695FA">
      <w:start w:val="1"/>
      <w:numFmt w:val="bullet"/>
      <w:lvlText w:val=""/>
      <w:lvlJc w:val="left"/>
      <w:pPr>
        <w:tabs>
          <w:tab w:val="num" w:pos="2880"/>
        </w:tabs>
        <w:ind w:left="2880" w:hanging="360"/>
      </w:pPr>
      <w:rPr>
        <w:rFonts w:ascii="Wingdings" w:hAnsi="Wingdings" w:cs="Wingdings" w:hint="default"/>
        <w:sz w:val="20"/>
        <w:szCs w:val="20"/>
      </w:rPr>
    </w:lvl>
    <w:lvl w:ilvl="4" w:tplc="0C568A5E">
      <w:start w:val="1"/>
      <w:numFmt w:val="bullet"/>
      <w:lvlText w:val=""/>
      <w:lvlJc w:val="left"/>
      <w:pPr>
        <w:tabs>
          <w:tab w:val="num" w:pos="3600"/>
        </w:tabs>
        <w:ind w:left="3600" w:hanging="360"/>
      </w:pPr>
      <w:rPr>
        <w:rFonts w:ascii="Wingdings" w:hAnsi="Wingdings" w:cs="Wingdings" w:hint="default"/>
        <w:sz w:val="20"/>
        <w:szCs w:val="20"/>
      </w:rPr>
    </w:lvl>
    <w:lvl w:ilvl="5" w:tplc="B450D156">
      <w:start w:val="1"/>
      <w:numFmt w:val="bullet"/>
      <w:lvlText w:val=""/>
      <w:lvlJc w:val="left"/>
      <w:pPr>
        <w:tabs>
          <w:tab w:val="num" w:pos="4320"/>
        </w:tabs>
        <w:ind w:left="4320" w:hanging="360"/>
      </w:pPr>
      <w:rPr>
        <w:rFonts w:ascii="Wingdings" w:hAnsi="Wingdings" w:cs="Wingdings" w:hint="default"/>
        <w:sz w:val="20"/>
        <w:szCs w:val="20"/>
      </w:rPr>
    </w:lvl>
    <w:lvl w:ilvl="6" w:tplc="590EF9CC">
      <w:start w:val="1"/>
      <w:numFmt w:val="bullet"/>
      <w:lvlText w:val=""/>
      <w:lvlJc w:val="left"/>
      <w:pPr>
        <w:tabs>
          <w:tab w:val="num" w:pos="5040"/>
        </w:tabs>
        <w:ind w:left="5040" w:hanging="360"/>
      </w:pPr>
      <w:rPr>
        <w:rFonts w:ascii="Wingdings" w:hAnsi="Wingdings" w:cs="Wingdings" w:hint="default"/>
        <w:sz w:val="20"/>
        <w:szCs w:val="20"/>
      </w:rPr>
    </w:lvl>
    <w:lvl w:ilvl="7" w:tplc="C92E6382">
      <w:start w:val="1"/>
      <w:numFmt w:val="bullet"/>
      <w:lvlText w:val=""/>
      <w:lvlJc w:val="left"/>
      <w:pPr>
        <w:tabs>
          <w:tab w:val="num" w:pos="5760"/>
        </w:tabs>
        <w:ind w:left="5760" w:hanging="360"/>
      </w:pPr>
      <w:rPr>
        <w:rFonts w:ascii="Wingdings" w:hAnsi="Wingdings" w:cs="Wingdings" w:hint="default"/>
        <w:sz w:val="20"/>
        <w:szCs w:val="20"/>
      </w:rPr>
    </w:lvl>
    <w:lvl w:ilvl="8" w:tplc="012E93C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266110CC"/>
    <w:multiLevelType w:val="hybridMultilevel"/>
    <w:tmpl w:val="2E3C1D6A"/>
    <w:lvl w:ilvl="0" w:tplc="F53A5CAC">
      <w:start w:val="1"/>
      <w:numFmt w:val="decimal"/>
      <w:lvlText w:val="%1."/>
      <w:lvlJc w:val="left"/>
      <w:pPr>
        <w:tabs>
          <w:tab w:val="num" w:pos="720"/>
        </w:tabs>
        <w:ind w:left="720" w:hanging="360"/>
      </w:pPr>
    </w:lvl>
    <w:lvl w:ilvl="1" w:tplc="CB7CDE3C">
      <w:start w:val="1"/>
      <w:numFmt w:val="decimal"/>
      <w:lvlText w:val="%2."/>
      <w:lvlJc w:val="left"/>
      <w:pPr>
        <w:tabs>
          <w:tab w:val="num" w:pos="1440"/>
        </w:tabs>
        <w:ind w:left="1440" w:hanging="360"/>
      </w:pPr>
    </w:lvl>
    <w:lvl w:ilvl="2" w:tplc="54605DCE">
      <w:start w:val="1"/>
      <w:numFmt w:val="decimal"/>
      <w:lvlText w:val="%3."/>
      <w:lvlJc w:val="left"/>
      <w:pPr>
        <w:tabs>
          <w:tab w:val="num" w:pos="2160"/>
        </w:tabs>
        <w:ind w:left="2160" w:hanging="360"/>
      </w:pPr>
    </w:lvl>
    <w:lvl w:ilvl="3" w:tplc="15A6E1A0">
      <w:start w:val="1"/>
      <w:numFmt w:val="decimal"/>
      <w:lvlText w:val="%4."/>
      <w:lvlJc w:val="left"/>
      <w:pPr>
        <w:tabs>
          <w:tab w:val="num" w:pos="2880"/>
        </w:tabs>
        <w:ind w:left="2880" w:hanging="360"/>
      </w:pPr>
    </w:lvl>
    <w:lvl w:ilvl="4" w:tplc="70D4DAF6">
      <w:start w:val="1"/>
      <w:numFmt w:val="decimal"/>
      <w:lvlText w:val="%5."/>
      <w:lvlJc w:val="left"/>
      <w:pPr>
        <w:tabs>
          <w:tab w:val="num" w:pos="3600"/>
        </w:tabs>
        <w:ind w:left="3600" w:hanging="360"/>
      </w:pPr>
    </w:lvl>
    <w:lvl w:ilvl="5" w:tplc="93C0A48E">
      <w:start w:val="1"/>
      <w:numFmt w:val="decimal"/>
      <w:lvlText w:val="%6."/>
      <w:lvlJc w:val="left"/>
      <w:pPr>
        <w:tabs>
          <w:tab w:val="num" w:pos="4320"/>
        </w:tabs>
        <w:ind w:left="4320" w:hanging="360"/>
      </w:pPr>
    </w:lvl>
    <w:lvl w:ilvl="6" w:tplc="74708446">
      <w:start w:val="1"/>
      <w:numFmt w:val="decimal"/>
      <w:lvlText w:val="%7."/>
      <w:lvlJc w:val="left"/>
      <w:pPr>
        <w:tabs>
          <w:tab w:val="num" w:pos="5040"/>
        </w:tabs>
        <w:ind w:left="5040" w:hanging="360"/>
      </w:pPr>
    </w:lvl>
    <w:lvl w:ilvl="7" w:tplc="F17CB67A">
      <w:start w:val="1"/>
      <w:numFmt w:val="decimal"/>
      <w:lvlText w:val="%8."/>
      <w:lvlJc w:val="left"/>
      <w:pPr>
        <w:tabs>
          <w:tab w:val="num" w:pos="5760"/>
        </w:tabs>
        <w:ind w:left="5760" w:hanging="360"/>
      </w:pPr>
    </w:lvl>
    <w:lvl w:ilvl="8" w:tplc="F05C80A4">
      <w:start w:val="1"/>
      <w:numFmt w:val="decimal"/>
      <w:lvlText w:val="%9."/>
      <w:lvlJc w:val="left"/>
      <w:pPr>
        <w:tabs>
          <w:tab w:val="num" w:pos="6480"/>
        </w:tabs>
        <w:ind w:left="6480" w:hanging="360"/>
      </w:pPr>
    </w:lvl>
  </w:abstractNum>
  <w:abstractNum w:abstractNumId="6">
    <w:nsid w:val="2C1A20BC"/>
    <w:multiLevelType w:val="hybridMultilevel"/>
    <w:tmpl w:val="F076A83C"/>
    <w:lvl w:ilvl="0" w:tplc="792297BA">
      <w:start w:val="1"/>
      <w:numFmt w:val="bullet"/>
      <w:lvlText w:val=""/>
      <w:lvlJc w:val="left"/>
      <w:pPr>
        <w:tabs>
          <w:tab w:val="num" w:pos="720"/>
        </w:tabs>
        <w:ind w:left="720" w:hanging="360"/>
      </w:pPr>
      <w:rPr>
        <w:rFonts w:ascii="Symbol" w:hAnsi="Symbol" w:cs="Symbol" w:hint="default"/>
        <w:sz w:val="20"/>
        <w:szCs w:val="20"/>
      </w:rPr>
    </w:lvl>
    <w:lvl w:ilvl="1" w:tplc="5972CC32">
      <w:start w:val="1"/>
      <w:numFmt w:val="bullet"/>
      <w:lvlText w:val="o"/>
      <w:lvlJc w:val="left"/>
      <w:pPr>
        <w:tabs>
          <w:tab w:val="num" w:pos="1440"/>
        </w:tabs>
        <w:ind w:left="1440" w:hanging="360"/>
      </w:pPr>
      <w:rPr>
        <w:rFonts w:ascii="Courier New" w:hAnsi="Courier New" w:cs="Courier New" w:hint="default"/>
        <w:sz w:val="20"/>
        <w:szCs w:val="20"/>
      </w:rPr>
    </w:lvl>
    <w:lvl w:ilvl="2" w:tplc="215A0606">
      <w:start w:val="1"/>
      <w:numFmt w:val="bullet"/>
      <w:lvlText w:val=""/>
      <w:lvlJc w:val="left"/>
      <w:pPr>
        <w:tabs>
          <w:tab w:val="num" w:pos="2160"/>
        </w:tabs>
        <w:ind w:left="2160" w:hanging="360"/>
      </w:pPr>
      <w:rPr>
        <w:rFonts w:ascii="Wingdings" w:hAnsi="Wingdings" w:cs="Wingdings" w:hint="default"/>
        <w:sz w:val="20"/>
        <w:szCs w:val="20"/>
      </w:rPr>
    </w:lvl>
    <w:lvl w:ilvl="3" w:tplc="4F7A6F9C">
      <w:start w:val="1"/>
      <w:numFmt w:val="bullet"/>
      <w:lvlText w:val=""/>
      <w:lvlJc w:val="left"/>
      <w:pPr>
        <w:tabs>
          <w:tab w:val="num" w:pos="2880"/>
        </w:tabs>
        <w:ind w:left="2880" w:hanging="360"/>
      </w:pPr>
      <w:rPr>
        <w:rFonts w:ascii="Wingdings" w:hAnsi="Wingdings" w:cs="Wingdings" w:hint="default"/>
        <w:sz w:val="20"/>
        <w:szCs w:val="20"/>
      </w:rPr>
    </w:lvl>
    <w:lvl w:ilvl="4" w:tplc="1DB62A8C">
      <w:start w:val="1"/>
      <w:numFmt w:val="bullet"/>
      <w:lvlText w:val=""/>
      <w:lvlJc w:val="left"/>
      <w:pPr>
        <w:tabs>
          <w:tab w:val="num" w:pos="3600"/>
        </w:tabs>
        <w:ind w:left="3600" w:hanging="360"/>
      </w:pPr>
      <w:rPr>
        <w:rFonts w:ascii="Wingdings" w:hAnsi="Wingdings" w:cs="Wingdings" w:hint="default"/>
        <w:sz w:val="20"/>
        <w:szCs w:val="20"/>
      </w:rPr>
    </w:lvl>
    <w:lvl w:ilvl="5" w:tplc="BE3C7C2C">
      <w:start w:val="1"/>
      <w:numFmt w:val="bullet"/>
      <w:lvlText w:val=""/>
      <w:lvlJc w:val="left"/>
      <w:pPr>
        <w:tabs>
          <w:tab w:val="num" w:pos="4320"/>
        </w:tabs>
        <w:ind w:left="4320" w:hanging="360"/>
      </w:pPr>
      <w:rPr>
        <w:rFonts w:ascii="Wingdings" w:hAnsi="Wingdings" w:cs="Wingdings" w:hint="default"/>
        <w:sz w:val="20"/>
        <w:szCs w:val="20"/>
      </w:rPr>
    </w:lvl>
    <w:lvl w:ilvl="6" w:tplc="02E8E096">
      <w:start w:val="1"/>
      <w:numFmt w:val="bullet"/>
      <w:lvlText w:val=""/>
      <w:lvlJc w:val="left"/>
      <w:pPr>
        <w:tabs>
          <w:tab w:val="num" w:pos="5040"/>
        </w:tabs>
        <w:ind w:left="5040" w:hanging="360"/>
      </w:pPr>
      <w:rPr>
        <w:rFonts w:ascii="Wingdings" w:hAnsi="Wingdings" w:cs="Wingdings" w:hint="default"/>
        <w:sz w:val="20"/>
        <w:szCs w:val="20"/>
      </w:rPr>
    </w:lvl>
    <w:lvl w:ilvl="7" w:tplc="7D5EED96">
      <w:start w:val="1"/>
      <w:numFmt w:val="bullet"/>
      <w:lvlText w:val=""/>
      <w:lvlJc w:val="left"/>
      <w:pPr>
        <w:tabs>
          <w:tab w:val="num" w:pos="5760"/>
        </w:tabs>
        <w:ind w:left="5760" w:hanging="360"/>
      </w:pPr>
      <w:rPr>
        <w:rFonts w:ascii="Wingdings" w:hAnsi="Wingdings" w:cs="Wingdings" w:hint="default"/>
        <w:sz w:val="20"/>
        <w:szCs w:val="20"/>
      </w:rPr>
    </w:lvl>
    <w:lvl w:ilvl="8" w:tplc="282A5C7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3B097FF3"/>
    <w:multiLevelType w:val="hybridMultilevel"/>
    <w:tmpl w:val="B52E3E26"/>
    <w:lvl w:ilvl="0" w:tplc="8C2043C2">
      <w:start w:val="1"/>
      <w:numFmt w:val="bullet"/>
      <w:lvlText w:val=""/>
      <w:lvlJc w:val="left"/>
      <w:pPr>
        <w:tabs>
          <w:tab w:val="num" w:pos="720"/>
        </w:tabs>
        <w:ind w:left="720" w:hanging="360"/>
      </w:pPr>
      <w:rPr>
        <w:rFonts w:ascii="Symbol" w:hAnsi="Symbol" w:cs="Symbol" w:hint="default"/>
        <w:sz w:val="20"/>
        <w:szCs w:val="20"/>
      </w:rPr>
    </w:lvl>
    <w:lvl w:ilvl="1" w:tplc="B608C8E4">
      <w:start w:val="1"/>
      <w:numFmt w:val="bullet"/>
      <w:lvlText w:val="o"/>
      <w:lvlJc w:val="left"/>
      <w:pPr>
        <w:tabs>
          <w:tab w:val="num" w:pos="1440"/>
        </w:tabs>
        <w:ind w:left="1440" w:hanging="360"/>
      </w:pPr>
      <w:rPr>
        <w:rFonts w:ascii="Courier New" w:hAnsi="Courier New" w:cs="Courier New" w:hint="default"/>
        <w:sz w:val="20"/>
        <w:szCs w:val="20"/>
      </w:rPr>
    </w:lvl>
    <w:lvl w:ilvl="2" w:tplc="7BA262BA">
      <w:start w:val="1"/>
      <w:numFmt w:val="bullet"/>
      <w:lvlText w:val=""/>
      <w:lvlJc w:val="left"/>
      <w:pPr>
        <w:tabs>
          <w:tab w:val="num" w:pos="2160"/>
        </w:tabs>
        <w:ind w:left="2160" w:hanging="360"/>
      </w:pPr>
      <w:rPr>
        <w:rFonts w:ascii="Wingdings" w:hAnsi="Wingdings" w:cs="Wingdings" w:hint="default"/>
        <w:sz w:val="20"/>
        <w:szCs w:val="20"/>
      </w:rPr>
    </w:lvl>
    <w:lvl w:ilvl="3" w:tplc="F7F65748">
      <w:start w:val="1"/>
      <w:numFmt w:val="bullet"/>
      <w:lvlText w:val=""/>
      <w:lvlJc w:val="left"/>
      <w:pPr>
        <w:tabs>
          <w:tab w:val="num" w:pos="2880"/>
        </w:tabs>
        <w:ind w:left="2880" w:hanging="360"/>
      </w:pPr>
      <w:rPr>
        <w:rFonts w:ascii="Wingdings" w:hAnsi="Wingdings" w:cs="Wingdings" w:hint="default"/>
        <w:sz w:val="20"/>
        <w:szCs w:val="20"/>
      </w:rPr>
    </w:lvl>
    <w:lvl w:ilvl="4" w:tplc="FD1A66E6">
      <w:start w:val="1"/>
      <w:numFmt w:val="bullet"/>
      <w:lvlText w:val=""/>
      <w:lvlJc w:val="left"/>
      <w:pPr>
        <w:tabs>
          <w:tab w:val="num" w:pos="3600"/>
        </w:tabs>
        <w:ind w:left="3600" w:hanging="360"/>
      </w:pPr>
      <w:rPr>
        <w:rFonts w:ascii="Wingdings" w:hAnsi="Wingdings" w:cs="Wingdings" w:hint="default"/>
        <w:sz w:val="20"/>
        <w:szCs w:val="20"/>
      </w:rPr>
    </w:lvl>
    <w:lvl w:ilvl="5" w:tplc="0B0E9304">
      <w:start w:val="1"/>
      <w:numFmt w:val="bullet"/>
      <w:lvlText w:val=""/>
      <w:lvlJc w:val="left"/>
      <w:pPr>
        <w:tabs>
          <w:tab w:val="num" w:pos="4320"/>
        </w:tabs>
        <w:ind w:left="4320" w:hanging="360"/>
      </w:pPr>
      <w:rPr>
        <w:rFonts w:ascii="Wingdings" w:hAnsi="Wingdings" w:cs="Wingdings" w:hint="default"/>
        <w:sz w:val="20"/>
        <w:szCs w:val="20"/>
      </w:rPr>
    </w:lvl>
    <w:lvl w:ilvl="6" w:tplc="984AF9A0">
      <w:start w:val="1"/>
      <w:numFmt w:val="bullet"/>
      <w:lvlText w:val=""/>
      <w:lvlJc w:val="left"/>
      <w:pPr>
        <w:tabs>
          <w:tab w:val="num" w:pos="5040"/>
        </w:tabs>
        <w:ind w:left="5040" w:hanging="360"/>
      </w:pPr>
      <w:rPr>
        <w:rFonts w:ascii="Wingdings" w:hAnsi="Wingdings" w:cs="Wingdings" w:hint="default"/>
        <w:sz w:val="20"/>
        <w:szCs w:val="20"/>
      </w:rPr>
    </w:lvl>
    <w:lvl w:ilvl="7" w:tplc="F4D07F70">
      <w:start w:val="1"/>
      <w:numFmt w:val="bullet"/>
      <w:lvlText w:val=""/>
      <w:lvlJc w:val="left"/>
      <w:pPr>
        <w:tabs>
          <w:tab w:val="num" w:pos="5760"/>
        </w:tabs>
        <w:ind w:left="5760" w:hanging="360"/>
      </w:pPr>
      <w:rPr>
        <w:rFonts w:ascii="Wingdings" w:hAnsi="Wingdings" w:cs="Wingdings" w:hint="default"/>
        <w:sz w:val="20"/>
        <w:szCs w:val="20"/>
      </w:rPr>
    </w:lvl>
    <w:lvl w:ilvl="8" w:tplc="7ABC02E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42CC4471"/>
    <w:multiLevelType w:val="hybridMultilevel"/>
    <w:tmpl w:val="CB529A54"/>
    <w:lvl w:ilvl="0" w:tplc="FA2AD79E">
      <w:start w:val="1"/>
      <w:numFmt w:val="bullet"/>
      <w:lvlText w:val=""/>
      <w:lvlJc w:val="left"/>
      <w:pPr>
        <w:tabs>
          <w:tab w:val="num" w:pos="720"/>
        </w:tabs>
        <w:ind w:left="720" w:hanging="360"/>
      </w:pPr>
      <w:rPr>
        <w:rFonts w:ascii="Symbol" w:hAnsi="Symbol" w:cs="Symbol" w:hint="default"/>
        <w:sz w:val="20"/>
        <w:szCs w:val="20"/>
      </w:rPr>
    </w:lvl>
    <w:lvl w:ilvl="1" w:tplc="5C94EC68">
      <w:start w:val="1"/>
      <w:numFmt w:val="bullet"/>
      <w:lvlText w:val="o"/>
      <w:lvlJc w:val="left"/>
      <w:pPr>
        <w:tabs>
          <w:tab w:val="num" w:pos="1440"/>
        </w:tabs>
        <w:ind w:left="1440" w:hanging="360"/>
      </w:pPr>
      <w:rPr>
        <w:rFonts w:ascii="Courier New" w:hAnsi="Courier New" w:cs="Courier New" w:hint="default"/>
        <w:sz w:val="20"/>
        <w:szCs w:val="20"/>
      </w:rPr>
    </w:lvl>
    <w:lvl w:ilvl="2" w:tplc="EA7E935C">
      <w:start w:val="1"/>
      <w:numFmt w:val="bullet"/>
      <w:lvlText w:val=""/>
      <w:lvlJc w:val="left"/>
      <w:pPr>
        <w:tabs>
          <w:tab w:val="num" w:pos="2160"/>
        </w:tabs>
        <w:ind w:left="2160" w:hanging="360"/>
      </w:pPr>
      <w:rPr>
        <w:rFonts w:ascii="Wingdings" w:hAnsi="Wingdings" w:cs="Wingdings" w:hint="default"/>
        <w:sz w:val="20"/>
        <w:szCs w:val="20"/>
      </w:rPr>
    </w:lvl>
    <w:lvl w:ilvl="3" w:tplc="C5CE0542">
      <w:start w:val="1"/>
      <w:numFmt w:val="bullet"/>
      <w:lvlText w:val=""/>
      <w:lvlJc w:val="left"/>
      <w:pPr>
        <w:tabs>
          <w:tab w:val="num" w:pos="2880"/>
        </w:tabs>
        <w:ind w:left="2880" w:hanging="360"/>
      </w:pPr>
      <w:rPr>
        <w:rFonts w:ascii="Wingdings" w:hAnsi="Wingdings" w:cs="Wingdings" w:hint="default"/>
        <w:sz w:val="20"/>
        <w:szCs w:val="20"/>
      </w:rPr>
    </w:lvl>
    <w:lvl w:ilvl="4" w:tplc="230E34F6">
      <w:start w:val="1"/>
      <w:numFmt w:val="bullet"/>
      <w:lvlText w:val=""/>
      <w:lvlJc w:val="left"/>
      <w:pPr>
        <w:tabs>
          <w:tab w:val="num" w:pos="3600"/>
        </w:tabs>
        <w:ind w:left="3600" w:hanging="360"/>
      </w:pPr>
      <w:rPr>
        <w:rFonts w:ascii="Wingdings" w:hAnsi="Wingdings" w:cs="Wingdings" w:hint="default"/>
        <w:sz w:val="20"/>
        <w:szCs w:val="20"/>
      </w:rPr>
    </w:lvl>
    <w:lvl w:ilvl="5" w:tplc="48569F48">
      <w:start w:val="1"/>
      <w:numFmt w:val="bullet"/>
      <w:lvlText w:val=""/>
      <w:lvlJc w:val="left"/>
      <w:pPr>
        <w:tabs>
          <w:tab w:val="num" w:pos="4320"/>
        </w:tabs>
        <w:ind w:left="4320" w:hanging="360"/>
      </w:pPr>
      <w:rPr>
        <w:rFonts w:ascii="Wingdings" w:hAnsi="Wingdings" w:cs="Wingdings" w:hint="default"/>
        <w:sz w:val="20"/>
        <w:szCs w:val="20"/>
      </w:rPr>
    </w:lvl>
    <w:lvl w:ilvl="6" w:tplc="2A9ABF78">
      <w:start w:val="1"/>
      <w:numFmt w:val="bullet"/>
      <w:lvlText w:val=""/>
      <w:lvlJc w:val="left"/>
      <w:pPr>
        <w:tabs>
          <w:tab w:val="num" w:pos="5040"/>
        </w:tabs>
        <w:ind w:left="5040" w:hanging="360"/>
      </w:pPr>
      <w:rPr>
        <w:rFonts w:ascii="Wingdings" w:hAnsi="Wingdings" w:cs="Wingdings" w:hint="default"/>
        <w:sz w:val="20"/>
        <w:szCs w:val="20"/>
      </w:rPr>
    </w:lvl>
    <w:lvl w:ilvl="7" w:tplc="FD68153E">
      <w:start w:val="1"/>
      <w:numFmt w:val="bullet"/>
      <w:lvlText w:val=""/>
      <w:lvlJc w:val="left"/>
      <w:pPr>
        <w:tabs>
          <w:tab w:val="num" w:pos="5760"/>
        </w:tabs>
        <w:ind w:left="5760" w:hanging="360"/>
      </w:pPr>
      <w:rPr>
        <w:rFonts w:ascii="Wingdings" w:hAnsi="Wingdings" w:cs="Wingdings" w:hint="default"/>
        <w:sz w:val="20"/>
        <w:szCs w:val="20"/>
      </w:rPr>
    </w:lvl>
    <w:lvl w:ilvl="8" w:tplc="728E16F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466673B2"/>
    <w:multiLevelType w:val="hybridMultilevel"/>
    <w:tmpl w:val="6B503A9A"/>
    <w:lvl w:ilvl="0" w:tplc="794E37B8">
      <w:start w:val="1"/>
      <w:numFmt w:val="decimal"/>
      <w:lvlText w:val="%1."/>
      <w:lvlJc w:val="left"/>
      <w:pPr>
        <w:tabs>
          <w:tab w:val="num" w:pos="720"/>
        </w:tabs>
        <w:ind w:left="720" w:hanging="360"/>
      </w:pPr>
    </w:lvl>
    <w:lvl w:ilvl="1" w:tplc="DBAE4194">
      <w:start w:val="1"/>
      <w:numFmt w:val="decimal"/>
      <w:lvlText w:val="%2."/>
      <w:lvlJc w:val="left"/>
      <w:pPr>
        <w:tabs>
          <w:tab w:val="num" w:pos="1440"/>
        </w:tabs>
        <w:ind w:left="1440" w:hanging="360"/>
      </w:pPr>
    </w:lvl>
    <w:lvl w:ilvl="2" w:tplc="511C34F2">
      <w:start w:val="1"/>
      <w:numFmt w:val="decimal"/>
      <w:lvlText w:val="%3."/>
      <w:lvlJc w:val="left"/>
      <w:pPr>
        <w:tabs>
          <w:tab w:val="num" w:pos="2160"/>
        </w:tabs>
        <w:ind w:left="2160" w:hanging="360"/>
      </w:pPr>
    </w:lvl>
    <w:lvl w:ilvl="3" w:tplc="9886ECE0">
      <w:start w:val="1"/>
      <w:numFmt w:val="decimal"/>
      <w:lvlText w:val="%4."/>
      <w:lvlJc w:val="left"/>
      <w:pPr>
        <w:tabs>
          <w:tab w:val="num" w:pos="2880"/>
        </w:tabs>
        <w:ind w:left="2880" w:hanging="360"/>
      </w:pPr>
    </w:lvl>
    <w:lvl w:ilvl="4" w:tplc="CFFA3FDA">
      <w:start w:val="1"/>
      <w:numFmt w:val="decimal"/>
      <w:lvlText w:val="%5."/>
      <w:lvlJc w:val="left"/>
      <w:pPr>
        <w:tabs>
          <w:tab w:val="num" w:pos="3600"/>
        </w:tabs>
        <w:ind w:left="3600" w:hanging="360"/>
      </w:pPr>
    </w:lvl>
    <w:lvl w:ilvl="5" w:tplc="11B47942">
      <w:start w:val="1"/>
      <w:numFmt w:val="decimal"/>
      <w:lvlText w:val="%6."/>
      <w:lvlJc w:val="left"/>
      <w:pPr>
        <w:tabs>
          <w:tab w:val="num" w:pos="4320"/>
        </w:tabs>
        <w:ind w:left="4320" w:hanging="360"/>
      </w:pPr>
    </w:lvl>
    <w:lvl w:ilvl="6" w:tplc="7CB6C430">
      <w:start w:val="1"/>
      <w:numFmt w:val="decimal"/>
      <w:lvlText w:val="%7."/>
      <w:lvlJc w:val="left"/>
      <w:pPr>
        <w:tabs>
          <w:tab w:val="num" w:pos="5040"/>
        </w:tabs>
        <w:ind w:left="5040" w:hanging="360"/>
      </w:pPr>
    </w:lvl>
    <w:lvl w:ilvl="7" w:tplc="2186634C">
      <w:start w:val="1"/>
      <w:numFmt w:val="decimal"/>
      <w:lvlText w:val="%8."/>
      <w:lvlJc w:val="left"/>
      <w:pPr>
        <w:tabs>
          <w:tab w:val="num" w:pos="5760"/>
        </w:tabs>
        <w:ind w:left="5760" w:hanging="360"/>
      </w:pPr>
    </w:lvl>
    <w:lvl w:ilvl="8" w:tplc="F45E7004">
      <w:start w:val="1"/>
      <w:numFmt w:val="decimal"/>
      <w:lvlText w:val="%9."/>
      <w:lvlJc w:val="left"/>
      <w:pPr>
        <w:tabs>
          <w:tab w:val="num" w:pos="6480"/>
        </w:tabs>
        <w:ind w:left="6480" w:hanging="360"/>
      </w:pPr>
    </w:lvl>
  </w:abstractNum>
  <w:abstractNum w:abstractNumId="10">
    <w:nsid w:val="4A79469D"/>
    <w:multiLevelType w:val="hybridMultilevel"/>
    <w:tmpl w:val="4ACE3CEC"/>
    <w:lvl w:ilvl="0" w:tplc="88A6D312">
      <w:start w:val="1"/>
      <w:numFmt w:val="decimal"/>
      <w:lvlText w:val="%1."/>
      <w:lvlJc w:val="left"/>
      <w:pPr>
        <w:tabs>
          <w:tab w:val="num" w:pos="720"/>
        </w:tabs>
        <w:ind w:left="720" w:hanging="360"/>
      </w:pPr>
    </w:lvl>
    <w:lvl w:ilvl="1" w:tplc="E4B0ED7A">
      <w:start w:val="1"/>
      <w:numFmt w:val="decimal"/>
      <w:lvlText w:val="%2."/>
      <w:lvlJc w:val="left"/>
      <w:pPr>
        <w:tabs>
          <w:tab w:val="num" w:pos="1440"/>
        </w:tabs>
        <w:ind w:left="1440" w:hanging="360"/>
      </w:pPr>
    </w:lvl>
    <w:lvl w:ilvl="2" w:tplc="F516083E">
      <w:start w:val="1"/>
      <w:numFmt w:val="decimal"/>
      <w:lvlText w:val="%3."/>
      <w:lvlJc w:val="left"/>
      <w:pPr>
        <w:tabs>
          <w:tab w:val="num" w:pos="2160"/>
        </w:tabs>
        <w:ind w:left="2160" w:hanging="360"/>
      </w:pPr>
    </w:lvl>
    <w:lvl w:ilvl="3" w:tplc="74E62DA0">
      <w:start w:val="1"/>
      <w:numFmt w:val="decimal"/>
      <w:lvlText w:val="%4."/>
      <w:lvlJc w:val="left"/>
      <w:pPr>
        <w:tabs>
          <w:tab w:val="num" w:pos="2880"/>
        </w:tabs>
        <w:ind w:left="2880" w:hanging="360"/>
      </w:pPr>
    </w:lvl>
    <w:lvl w:ilvl="4" w:tplc="AFFCFBCE">
      <w:start w:val="1"/>
      <w:numFmt w:val="decimal"/>
      <w:lvlText w:val="%5."/>
      <w:lvlJc w:val="left"/>
      <w:pPr>
        <w:tabs>
          <w:tab w:val="num" w:pos="3600"/>
        </w:tabs>
        <w:ind w:left="3600" w:hanging="360"/>
      </w:pPr>
    </w:lvl>
    <w:lvl w:ilvl="5" w:tplc="C650750E">
      <w:start w:val="1"/>
      <w:numFmt w:val="decimal"/>
      <w:lvlText w:val="%6."/>
      <w:lvlJc w:val="left"/>
      <w:pPr>
        <w:tabs>
          <w:tab w:val="num" w:pos="4320"/>
        </w:tabs>
        <w:ind w:left="4320" w:hanging="360"/>
      </w:pPr>
    </w:lvl>
    <w:lvl w:ilvl="6" w:tplc="35267D98">
      <w:start w:val="1"/>
      <w:numFmt w:val="decimal"/>
      <w:lvlText w:val="%7."/>
      <w:lvlJc w:val="left"/>
      <w:pPr>
        <w:tabs>
          <w:tab w:val="num" w:pos="5040"/>
        </w:tabs>
        <w:ind w:left="5040" w:hanging="360"/>
      </w:pPr>
    </w:lvl>
    <w:lvl w:ilvl="7" w:tplc="A3543968">
      <w:start w:val="1"/>
      <w:numFmt w:val="decimal"/>
      <w:lvlText w:val="%8."/>
      <w:lvlJc w:val="left"/>
      <w:pPr>
        <w:tabs>
          <w:tab w:val="num" w:pos="5760"/>
        </w:tabs>
        <w:ind w:left="5760" w:hanging="360"/>
      </w:pPr>
    </w:lvl>
    <w:lvl w:ilvl="8" w:tplc="CC160CD2">
      <w:start w:val="1"/>
      <w:numFmt w:val="decimal"/>
      <w:lvlText w:val="%9."/>
      <w:lvlJc w:val="left"/>
      <w:pPr>
        <w:tabs>
          <w:tab w:val="num" w:pos="6480"/>
        </w:tabs>
        <w:ind w:left="6480" w:hanging="360"/>
      </w:pPr>
    </w:lvl>
  </w:abstractNum>
  <w:abstractNum w:abstractNumId="11">
    <w:nsid w:val="52A70556"/>
    <w:multiLevelType w:val="hybridMultilevel"/>
    <w:tmpl w:val="EA50A4F0"/>
    <w:lvl w:ilvl="0" w:tplc="FCCCE0EA">
      <w:start w:val="2"/>
      <w:numFmt w:val="decimal"/>
      <w:lvlText w:val="%1."/>
      <w:lvlJc w:val="left"/>
      <w:pPr>
        <w:tabs>
          <w:tab w:val="num" w:pos="720"/>
        </w:tabs>
        <w:ind w:left="720" w:hanging="360"/>
      </w:pPr>
    </w:lvl>
    <w:lvl w:ilvl="1" w:tplc="F6FCDF1E">
      <w:start w:val="1"/>
      <w:numFmt w:val="decimal"/>
      <w:lvlText w:val="%2."/>
      <w:lvlJc w:val="left"/>
      <w:pPr>
        <w:tabs>
          <w:tab w:val="num" w:pos="1440"/>
        </w:tabs>
        <w:ind w:left="1440" w:hanging="360"/>
      </w:pPr>
    </w:lvl>
    <w:lvl w:ilvl="2" w:tplc="03EA8FB6">
      <w:start w:val="1"/>
      <w:numFmt w:val="decimal"/>
      <w:lvlText w:val="%3."/>
      <w:lvlJc w:val="left"/>
      <w:pPr>
        <w:tabs>
          <w:tab w:val="num" w:pos="2160"/>
        </w:tabs>
        <w:ind w:left="2160" w:hanging="360"/>
      </w:pPr>
    </w:lvl>
    <w:lvl w:ilvl="3" w:tplc="BBFE8546">
      <w:start w:val="1"/>
      <w:numFmt w:val="decimal"/>
      <w:lvlText w:val="%4."/>
      <w:lvlJc w:val="left"/>
      <w:pPr>
        <w:tabs>
          <w:tab w:val="num" w:pos="2880"/>
        </w:tabs>
        <w:ind w:left="2880" w:hanging="360"/>
      </w:pPr>
    </w:lvl>
    <w:lvl w:ilvl="4" w:tplc="3844EA86">
      <w:start w:val="1"/>
      <w:numFmt w:val="decimal"/>
      <w:lvlText w:val="%5."/>
      <w:lvlJc w:val="left"/>
      <w:pPr>
        <w:tabs>
          <w:tab w:val="num" w:pos="3600"/>
        </w:tabs>
        <w:ind w:left="3600" w:hanging="360"/>
      </w:pPr>
    </w:lvl>
    <w:lvl w:ilvl="5" w:tplc="A0460874">
      <w:start w:val="1"/>
      <w:numFmt w:val="decimal"/>
      <w:lvlText w:val="%6."/>
      <w:lvlJc w:val="left"/>
      <w:pPr>
        <w:tabs>
          <w:tab w:val="num" w:pos="4320"/>
        </w:tabs>
        <w:ind w:left="4320" w:hanging="360"/>
      </w:pPr>
    </w:lvl>
    <w:lvl w:ilvl="6" w:tplc="A394F50C">
      <w:start w:val="1"/>
      <w:numFmt w:val="decimal"/>
      <w:lvlText w:val="%7."/>
      <w:lvlJc w:val="left"/>
      <w:pPr>
        <w:tabs>
          <w:tab w:val="num" w:pos="5040"/>
        </w:tabs>
        <w:ind w:left="5040" w:hanging="360"/>
      </w:pPr>
    </w:lvl>
    <w:lvl w:ilvl="7" w:tplc="8C30ACE0">
      <w:start w:val="1"/>
      <w:numFmt w:val="decimal"/>
      <w:lvlText w:val="%8."/>
      <w:lvlJc w:val="left"/>
      <w:pPr>
        <w:tabs>
          <w:tab w:val="num" w:pos="5760"/>
        </w:tabs>
        <w:ind w:left="5760" w:hanging="360"/>
      </w:pPr>
    </w:lvl>
    <w:lvl w:ilvl="8" w:tplc="A16E9ACC">
      <w:start w:val="1"/>
      <w:numFmt w:val="decimal"/>
      <w:lvlText w:val="%9."/>
      <w:lvlJc w:val="left"/>
      <w:pPr>
        <w:tabs>
          <w:tab w:val="num" w:pos="6480"/>
        </w:tabs>
        <w:ind w:left="6480" w:hanging="360"/>
      </w:pPr>
    </w:lvl>
  </w:abstractNum>
  <w:abstractNum w:abstractNumId="12">
    <w:nsid w:val="52B702E0"/>
    <w:multiLevelType w:val="hybridMultilevel"/>
    <w:tmpl w:val="D4E27ABA"/>
    <w:lvl w:ilvl="0" w:tplc="A6D49FCE">
      <w:start w:val="1"/>
      <w:numFmt w:val="bullet"/>
      <w:lvlText w:val=""/>
      <w:lvlJc w:val="left"/>
      <w:pPr>
        <w:tabs>
          <w:tab w:val="num" w:pos="720"/>
        </w:tabs>
        <w:ind w:left="720" w:hanging="360"/>
      </w:pPr>
      <w:rPr>
        <w:rFonts w:ascii="Symbol" w:hAnsi="Symbol" w:cs="Symbol" w:hint="default"/>
        <w:sz w:val="20"/>
        <w:szCs w:val="20"/>
      </w:rPr>
    </w:lvl>
    <w:lvl w:ilvl="1" w:tplc="18805766">
      <w:start w:val="1"/>
      <w:numFmt w:val="bullet"/>
      <w:lvlText w:val="o"/>
      <w:lvlJc w:val="left"/>
      <w:pPr>
        <w:tabs>
          <w:tab w:val="num" w:pos="1440"/>
        </w:tabs>
        <w:ind w:left="1440" w:hanging="360"/>
      </w:pPr>
      <w:rPr>
        <w:rFonts w:ascii="Courier New" w:hAnsi="Courier New" w:cs="Courier New" w:hint="default"/>
        <w:sz w:val="20"/>
        <w:szCs w:val="20"/>
      </w:rPr>
    </w:lvl>
    <w:lvl w:ilvl="2" w:tplc="4392AE9C">
      <w:start w:val="1"/>
      <w:numFmt w:val="bullet"/>
      <w:lvlText w:val=""/>
      <w:lvlJc w:val="left"/>
      <w:pPr>
        <w:tabs>
          <w:tab w:val="num" w:pos="2160"/>
        </w:tabs>
        <w:ind w:left="2160" w:hanging="360"/>
      </w:pPr>
      <w:rPr>
        <w:rFonts w:ascii="Wingdings" w:hAnsi="Wingdings" w:cs="Wingdings" w:hint="default"/>
        <w:sz w:val="20"/>
        <w:szCs w:val="20"/>
      </w:rPr>
    </w:lvl>
    <w:lvl w:ilvl="3" w:tplc="2F760992">
      <w:start w:val="1"/>
      <w:numFmt w:val="bullet"/>
      <w:lvlText w:val=""/>
      <w:lvlJc w:val="left"/>
      <w:pPr>
        <w:tabs>
          <w:tab w:val="num" w:pos="2880"/>
        </w:tabs>
        <w:ind w:left="2880" w:hanging="360"/>
      </w:pPr>
      <w:rPr>
        <w:rFonts w:ascii="Wingdings" w:hAnsi="Wingdings" w:cs="Wingdings" w:hint="default"/>
        <w:sz w:val="20"/>
        <w:szCs w:val="20"/>
      </w:rPr>
    </w:lvl>
    <w:lvl w:ilvl="4" w:tplc="9AF8A15C">
      <w:start w:val="1"/>
      <w:numFmt w:val="bullet"/>
      <w:lvlText w:val=""/>
      <w:lvlJc w:val="left"/>
      <w:pPr>
        <w:tabs>
          <w:tab w:val="num" w:pos="3600"/>
        </w:tabs>
        <w:ind w:left="3600" w:hanging="360"/>
      </w:pPr>
      <w:rPr>
        <w:rFonts w:ascii="Wingdings" w:hAnsi="Wingdings" w:cs="Wingdings" w:hint="default"/>
        <w:sz w:val="20"/>
        <w:szCs w:val="20"/>
      </w:rPr>
    </w:lvl>
    <w:lvl w:ilvl="5" w:tplc="EFCAD572">
      <w:start w:val="1"/>
      <w:numFmt w:val="bullet"/>
      <w:lvlText w:val=""/>
      <w:lvlJc w:val="left"/>
      <w:pPr>
        <w:tabs>
          <w:tab w:val="num" w:pos="4320"/>
        </w:tabs>
        <w:ind w:left="4320" w:hanging="360"/>
      </w:pPr>
      <w:rPr>
        <w:rFonts w:ascii="Wingdings" w:hAnsi="Wingdings" w:cs="Wingdings" w:hint="default"/>
        <w:sz w:val="20"/>
        <w:szCs w:val="20"/>
      </w:rPr>
    </w:lvl>
    <w:lvl w:ilvl="6" w:tplc="0234C3EC">
      <w:start w:val="1"/>
      <w:numFmt w:val="bullet"/>
      <w:lvlText w:val=""/>
      <w:lvlJc w:val="left"/>
      <w:pPr>
        <w:tabs>
          <w:tab w:val="num" w:pos="5040"/>
        </w:tabs>
        <w:ind w:left="5040" w:hanging="360"/>
      </w:pPr>
      <w:rPr>
        <w:rFonts w:ascii="Wingdings" w:hAnsi="Wingdings" w:cs="Wingdings" w:hint="default"/>
        <w:sz w:val="20"/>
        <w:szCs w:val="20"/>
      </w:rPr>
    </w:lvl>
    <w:lvl w:ilvl="7" w:tplc="C688C7AA">
      <w:start w:val="1"/>
      <w:numFmt w:val="bullet"/>
      <w:lvlText w:val=""/>
      <w:lvlJc w:val="left"/>
      <w:pPr>
        <w:tabs>
          <w:tab w:val="num" w:pos="5760"/>
        </w:tabs>
        <w:ind w:left="5760" w:hanging="360"/>
      </w:pPr>
      <w:rPr>
        <w:rFonts w:ascii="Wingdings" w:hAnsi="Wingdings" w:cs="Wingdings" w:hint="default"/>
        <w:sz w:val="20"/>
        <w:szCs w:val="20"/>
      </w:rPr>
    </w:lvl>
    <w:lvl w:ilvl="8" w:tplc="6734C7D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5B504FDA"/>
    <w:multiLevelType w:val="hybridMultilevel"/>
    <w:tmpl w:val="4CC8E1E4"/>
    <w:lvl w:ilvl="0" w:tplc="6BC27944">
      <w:start w:val="1"/>
      <w:numFmt w:val="decimal"/>
      <w:lvlText w:val="%1."/>
      <w:lvlJc w:val="left"/>
      <w:pPr>
        <w:tabs>
          <w:tab w:val="num" w:pos="720"/>
        </w:tabs>
        <w:ind w:left="720" w:hanging="360"/>
      </w:pPr>
    </w:lvl>
    <w:lvl w:ilvl="1" w:tplc="C7FA7838">
      <w:start w:val="1"/>
      <w:numFmt w:val="decimal"/>
      <w:lvlText w:val="%2."/>
      <w:lvlJc w:val="left"/>
      <w:pPr>
        <w:tabs>
          <w:tab w:val="num" w:pos="1440"/>
        </w:tabs>
        <w:ind w:left="1440" w:hanging="360"/>
      </w:pPr>
    </w:lvl>
    <w:lvl w:ilvl="2" w:tplc="69B8538A">
      <w:start w:val="1"/>
      <w:numFmt w:val="decimal"/>
      <w:lvlText w:val="%3."/>
      <w:lvlJc w:val="left"/>
      <w:pPr>
        <w:tabs>
          <w:tab w:val="num" w:pos="2160"/>
        </w:tabs>
        <w:ind w:left="2160" w:hanging="360"/>
      </w:pPr>
    </w:lvl>
    <w:lvl w:ilvl="3" w:tplc="47804F5C">
      <w:start w:val="1"/>
      <w:numFmt w:val="decimal"/>
      <w:lvlText w:val="%4."/>
      <w:lvlJc w:val="left"/>
      <w:pPr>
        <w:tabs>
          <w:tab w:val="num" w:pos="2880"/>
        </w:tabs>
        <w:ind w:left="2880" w:hanging="360"/>
      </w:pPr>
    </w:lvl>
    <w:lvl w:ilvl="4" w:tplc="0E3EA07C">
      <w:start w:val="1"/>
      <w:numFmt w:val="decimal"/>
      <w:lvlText w:val="%5."/>
      <w:lvlJc w:val="left"/>
      <w:pPr>
        <w:tabs>
          <w:tab w:val="num" w:pos="3600"/>
        </w:tabs>
        <w:ind w:left="3600" w:hanging="360"/>
      </w:pPr>
    </w:lvl>
    <w:lvl w:ilvl="5" w:tplc="646E6076">
      <w:start w:val="1"/>
      <w:numFmt w:val="decimal"/>
      <w:lvlText w:val="%6."/>
      <w:lvlJc w:val="left"/>
      <w:pPr>
        <w:tabs>
          <w:tab w:val="num" w:pos="4320"/>
        </w:tabs>
        <w:ind w:left="4320" w:hanging="360"/>
      </w:pPr>
    </w:lvl>
    <w:lvl w:ilvl="6" w:tplc="2CC29412">
      <w:start w:val="1"/>
      <w:numFmt w:val="decimal"/>
      <w:lvlText w:val="%7."/>
      <w:lvlJc w:val="left"/>
      <w:pPr>
        <w:tabs>
          <w:tab w:val="num" w:pos="5040"/>
        </w:tabs>
        <w:ind w:left="5040" w:hanging="360"/>
      </w:pPr>
    </w:lvl>
    <w:lvl w:ilvl="7" w:tplc="EDFC6A24">
      <w:start w:val="1"/>
      <w:numFmt w:val="decimal"/>
      <w:lvlText w:val="%8."/>
      <w:lvlJc w:val="left"/>
      <w:pPr>
        <w:tabs>
          <w:tab w:val="num" w:pos="5760"/>
        </w:tabs>
        <w:ind w:left="5760" w:hanging="360"/>
      </w:pPr>
    </w:lvl>
    <w:lvl w:ilvl="8" w:tplc="6D54BCF6">
      <w:start w:val="1"/>
      <w:numFmt w:val="decimal"/>
      <w:lvlText w:val="%9."/>
      <w:lvlJc w:val="left"/>
      <w:pPr>
        <w:tabs>
          <w:tab w:val="num" w:pos="6480"/>
        </w:tabs>
        <w:ind w:left="6480" w:hanging="360"/>
      </w:pPr>
    </w:lvl>
  </w:abstractNum>
  <w:abstractNum w:abstractNumId="14">
    <w:nsid w:val="5F2140F3"/>
    <w:multiLevelType w:val="hybridMultilevel"/>
    <w:tmpl w:val="DD083438"/>
    <w:lvl w:ilvl="0" w:tplc="CE26335A">
      <w:start w:val="1"/>
      <w:numFmt w:val="bullet"/>
      <w:lvlText w:val=""/>
      <w:lvlJc w:val="left"/>
      <w:pPr>
        <w:tabs>
          <w:tab w:val="num" w:pos="720"/>
        </w:tabs>
        <w:ind w:left="720" w:hanging="360"/>
      </w:pPr>
      <w:rPr>
        <w:rFonts w:ascii="Symbol" w:hAnsi="Symbol" w:cs="Symbol" w:hint="default"/>
        <w:sz w:val="20"/>
        <w:szCs w:val="20"/>
      </w:rPr>
    </w:lvl>
    <w:lvl w:ilvl="1" w:tplc="55ECABE0">
      <w:start w:val="1"/>
      <w:numFmt w:val="bullet"/>
      <w:lvlText w:val="o"/>
      <w:lvlJc w:val="left"/>
      <w:pPr>
        <w:tabs>
          <w:tab w:val="num" w:pos="1440"/>
        </w:tabs>
        <w:ind w:left="1440" w:hanging="360"/>
      </w:pPr>
      <w:rPr>
        <w:rFonts w:ascii="Courier New" w:hAnsi="Courier New" w:cs="Courier New" w:hint="default"/>
        <w:sz w:val="20"/>
        <w:szCs w:val="20"/>
      </w:rPr>
    </w:lvl>
    <w:lvl w:ilvl="2" w:tplc="5CBC0360">
      <w:start w:val="1"/>
      <w:numFmt w:val="bullet"/>
      <w:lvlText w:val=""/>
      <w:lvlJc w:val="left"/>
      <w:pPr>
        <w:tabs>
          <w:tab w:val="num" w:pos="2160"/>
        </w:tabs>
        <w:ind w:left="2160" w:hanging="360"/>
      </w:pPr>
      <w:rPr>
        <w:rFonts w:ascii="Wingdings" w:hAnsi="Wingdings" w:cs="Wingdings" w:hint="default"/>
        <w:sz w:val="20"/>
        <w:szCs w:val="20"/>
      </w:rPr>
    </w:lvl>
    <w:lvl w:ilvl="3" w:tplc="D8A23616">
      <w:start w:val="1"/>
      <w:numFmt w:val="bullet"/>
      <w:lvlText w:val=""/>
      <w:lvlJc w:val="left"/>
      <w:pPr>
        <w:tabs>
          <w:tab w:val="num" w:pos="2880"/>
        </w:tabs>
        <w:ind w:left="2880" w:hanging="360"/>
      </w:pPr>
      <w:rPr>
        <w:rFonts w:ascii="Wingdings" w:hAnsi="Wingdings" w:cs="Wingdings" w:hint="default"/>
        <w:sz w:val="20"/>
        <w:szCs w:val="20"/>
      </w:rPr>
    </w:lvl>
    <w:lvl w:ilvl="4" w:tplc="387E8F08">
      <w:start w:val="1"/>
      <w:numFmt w:val="bullet"/>
      <w:lvlText w:val=""/>
      <w:lvlJc w:val="left"/>
      <w:pPr>
        <w:tabs>
          <w:tab w:val="num" w:pos="3600"/>
        </w:tabs>
        <w:ind w:left="3600" w:hanging="360"/>
      </w:pPr>
      <w:rPr>
        <w:rFonts w:ascii="Wingdings" w:hAnsi="Wingdings" w:cs="Wingdings" w:hint="default"/>
        <w:sz w:val="20"/>
        <w:szCs w:val="20"/>
      </w:rPr>
    </w:lvl>
    <w:lvl w:ilvl="5" w:tplc="B294828C">
      <w:start w:val="1"/>
      <w:numFmt w:val="bullet"/>
      <w:lvlText w:val=""/>
      <w:lvlJc w:val="left"/>
      <w:pPr>
        <w:tabs>
          <w:tab w:val="num" w:pos="4320"/>
        </w:tabs>
        <w:ind w:left="4320" w:hanging="360"/>
      </w:pPr>
      <w:rPr>
        <w:rFonts w:ascii="Wingdings" w:hAnsi="Wingdings" w:cs="Wingdings" w:hint="default"/>
        <w:sz w:val="20"/>
        <w:szCs w:val="20"/>
      </w:rPr>
    </w:lvl>
    <w:lvl w:ilvl="6" w:tplc="DCCC0F46">
      <w:start w:val="1"/>
      <w:numFmt w:val="bullet"/>
      <w:lvlText w:val=""/>
      <w:lvlJc w:val="left"/>
      <w:pPr>
        <w:tabs>
          <w:tab w:val="num" w:pos="5040"/>
        </w:tabs>
        <w:ind w:left="5040" w:hanging="360"/>
      </w:pPr>
      <w:rPr>
        <w:rFonts w:ascii="Wingdings" w:hAnsi="Wingdings" w:cs="Wingdings" w:hint="default"/>
        <w:sz w:val="20"/>
        <w:szCs w:val="20"/>
      </w:rPr>
    </w:lvl>
    <w:lvl w:ilvl="7" w:tplc="2D2C6B2E">
      <w:start w:val="1"/>
      <w:numFmt w:val="bullet"/>
      <w:lvlText w:val=""/>
      <w:lvlJc w:val="left"/>
      <w:pPr>
        <w:tabs>
          <w:tab w:val="num" w:pos="5760"/>
        </w:tabs>
        <w:ind w:left="5760" w:hanging="360"/>
      </w:pPr>
      <w:rPr>
        <w:rFonts w:ascii="Wingdings" w:hAnsi="Wingdings" w:cs="Wingdings" w:hint="default"/>
        <w:sz w:val="20"/>
        <w:szCs w:val="20"/>
      </w:rPr>
    </w:lvl>
    <w:lvl w:ilvl="8" w:tplc="1F0668E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616A7AAC"/>
    <w:multiLevelType w:val="hybridMultilevel"/>
    <w:tmpl w:val="BD0E3E92"/>
    <w:lvl w:ilvl="0" w:tplc="B80ADBAA">
      <w:start w:val="1"/>
      <w:numFmt w:val="decimal"/>
      <w:lvlText w:val="%1."/>
      <w:lvlJc w:val="left"/>
      <w:pPr>
        <w:tabs>
          <w:tab w:val="num" w:pos="720"/>
        </w:tabs>
        <w:ind w:left="720" w:hanging="360"/>
      </w:pPr>
    </w:lvl>
    <w:lvl w:ilvl="1" w:tplc="A8F2B5A6">
      <w:start w:val="1"/>
      <w:numFmt w:val="decimal"/>
      <w:lvlText w:val="%2."/>
      <w:lvlJc w:val="left"/>
      <w:pPr>
        <w:tabs>
          <w:tab w:val="num" w:pos="1440"/>
        </w:tabs>
        <w:ind w:left="1440" w:hanging="360"/>
      </w:pPr>
    </w:lvl>
    <w:lvl w:ilvl="2" w:tplc="26E0CCDE">
      <w:start w:val="1"/>
      <w:numFmt w:val="decimal"/>
      <w:lvlText w:val="%3."/>
      <w:lvlJc w:val="left"/>
      <w:pPr>
        <w:tabs>
          <w:tab w:val="num" w:pos="2160"/>
        </w:tabs>
        <w:ind w:left="2160" w:hanging="360"/>
      </w:pPr>
    </w:lvl>
    <w:lvl w:ilvl="3" w:tplc="F04E6654">
      <w:start w:val="1"/>
      <w:numFmt w:val="decimal"/>
      <w:lvlText w:val="%4."/>
      <w:lvlJc w:val="left"/>
      <w:pPr>
        <w:tabs>
          <w:tab w:val="num" w:pos="2880"/>
        </w:tabs>
        <w:ind w:left="2880" w:hanging="360"/>
      </w:pPr>
    </w:lvl>
    <w:lvl w:ilvl="4" w:tplc="2F7C385A">
      <w:start w:val="1"/>
      <w:numFmt w:val="decimal"/>
      <w:lvlText w:val="%5."/>
      <w:lvlJc w:val="left"/>
      <w:pPr>
        <w:tabs>
          <w:tab w:val="num" w:pos="3600"/>
        </w:tabs>
        <w:ind w:left="3600" w:hanging="360"/>
      </w:pPr>
    </w:lvl>
    <w:lvl w:ilvl="5" w:tplc="5EEABA1A">
      <w:start w:val="1"/>
      <w:numFmt w:val="decimal"/>
      <w:lvlText w:val="%6."/>
      <w:lvlJc w:val="left"/>
      <w:pPr>
        <w:tabs>
          <w:tab w:val="num" w:pos="4320"/>
        </w:tabs>
        <w:ind w:left="4320" w:hanging="360"/>
      </w:pPr>
    </w:lvl>
    <w:lvl w:ilvl="6" w:tplc="EDEC3B34">
      <w:start w:val="1"/>
      <w:numFmt w:val="decimal"/>
      <w:lvlText w:val="%7."/>
      <w:lvlJc w:val="left"/>
      <w:pPr>
        <w:tabs>
          <w:tab w:val="num" w:pos="5040"/>
        </w:tabs>
        <w:ind w:left="5040" w:hanging="360"/>
      </w:pPr>
    </w:lvl>
    <w:lvl w:ilvl="7" w:tplc="A65ED024">
      <w:start w:val="1"/>
      <w:numFmt w:val="decimal"/>
      <w:lvlText w:val="%8."/>
      <w:lvlJc w:val="left"/>
      <w:pPr>
        <w:tabs>
          <w:tab w:val="num" w:pos="5760"/>
        </w:tabs>
        <w:ind w:left="5760" w:hanging="360"/>
      </w:pPr>
    </w:lvl>
    <w:lvl w:ilvl="8" w:tplc="9C304F60">
      <w:start w:val="1"/>
      <w:numFmt w:val="decimal"/>
      <w:lvlText w:val="%9."/>
      <w:lvlJc w:val="left"/>
      <w:pPr>
        <w:tabs>
          <w:tab w:val="num" w:pos="6480"/>
        </w:tabs>
        <w:ind w:left="6480" w:hanging="360"/>
      </w:pPr>
    </w:lvl>
  </w:abstractNum>
  <w:abstractNum w:abstractNumId="16">
    <w:nsid w:val="68D32430"/>
    <w:multiLevelType w:val="hybridMultilevel"/>
    <w:tmpl w:val="06CAB942"/>
    <w:lvl w:ilvl="0" w:tplc="CCCC30F0">
      <w:start w:val="1"/>
      <w:numFmt w:val="bullet"/>
      <w:lvlText w:val=""/>
      <w:lvlJc w:val="left"/>
      <w:pPr>
        <w:tabs>
          <w:tab w:val="num" w:pos="720"/>
        </w:tabs>
        <w:ind w:left="720" w:hanging="360"/>
      </w:pPr>
      <w:rPr>
        <w:rFonts w:ascii="Symbol" w:hAnsi="Symbol" w:cs="Symbol" w:hint="default"/>
        <w:sz w:val="20"/>
        <w:szCs w:val="20"/>
      </w:rPr>
    </w:lvl>
    <w:lvl w:ilvl="1" w:tplc="DA4ACAF8">
      <w:start w:val="1"/>
      <w:numFmt w:val="bullet"/>
      <w:lvlText w:val="o"/>
      <w:lvlJc w:val="left"/>
      <w:pPr>
        <w:tabs>
          <w:tab w:val="num" w:pos="1440"/>
        </w:tabs>
        <w:ind w:left="1440" w:hanging="360"/>
      </w:pPr>
      <w:rPr>
        <w:rFonts w:ascii="Courier New" w:hAnsi="Courier New" w:cs="Courier New" w:hint="default"/>
        <w:sz w:val="20"/>
        <w:szCs w:val="20"/>
      </w:rPr>
    </w:lvl>
    <w:lvl w:ilvl="2" w:tplc="4526501E">
      <w:start w:val="1"/>
      <w:numFmt w:val="bullet"/>
      <w:lvlText w:val=""/>
      <w:lvlJc w:val="left"/>
      <w:pPr>
        <w:tabs>
          <w:tab w:val="num" w:pos="2160"/>
        </w:tabs>
        <w:ind w:left="2160" w:hanging="360"/>
      </w:pPr>
      <w:rPr>
        <w:rFonts w:ascii="Wingdings" w:hAnsi="Wingdings" w:cs="Wingdings" w:hint="default"/>
        <w:sz w:val="20"/>
        <w:szCs w:val="20"/>
      </w:rPr>
    </w:lvl>
    <w:lvl w:ilvl="3" w:tplc="ECB2F002">
      <w:start w:val="1"/>
      <w:numFmt w:val="bullet"/>
      <w:lvlText w:val=""/>
      <w:lvlJc w:val="left"/>
      <w:pPr>
        <w:tabs>
          <w:tab w:val="num" w:pos="2880"/>
        </w:tabs>
        <w:ind w:left="2880" w:hanging="360"/>
      </w:pPr>
      <w:rPr>
        <w:rFonts w:ascii="Wingdings" w:hAnsi="Wingdings" w:cs="Wingdings" w:hint="default"/>
        <w:sz w:val="20"/>
        <w:szCs w:val="20"/>
      </w:rPr>
    </w:lvl>
    <w:lvl w:ilvl="4" w:tplc="3950020A">
      <w:start w:val="1"/>
      <w:numFmt w:val="bullet"/>
      <w:lvlText w:val=""/>
      <w:lvlJc w:val="left"/>
      <w:pPr>
        <w:tabs>
          <w:tab w:val="num" w:pos="3600"/>
        </w:tabs>
        <w:ind w:left="3600" w:hanging="360"/>
      </w:pPr>
      <w:rPr>
        <w:rFonts w:ascii="Wingdings" w:hAnsi="Wingdings" w:cs="Wingdings" w:hint="default"/>
        <w:sz w:val="20"/>
        <w:szCs w:val="20"/>
      </w:rPr>
    </w:lvl>
    <w:lvl w:ilvl="5" w:tplc="82BCD13E">
      <w:start w:val="1"/>
      <w:numFmt w:val="bullet"/>
      <w:lvlText w:val=""/>
      <w:lvlJc w:val="left"/>
      <w:pPr>
        <w:tabs>
          <w:tab w:val="num" w:pos="4320"/>
        </w:tabs>
        <w:ind w:left="4320" w:hanging="360"/>
      </w:pPr>
      <w:rPr>
        <w:rFonts w:ascii="Wingdings" w:hAnsi="Wingdings" w:cs="Wingdings" w:hint="default"/>
        <w:sz w:val="20"/>
        <w:szCs w:val="20"/>
      </w:rPr>
    </w:lvl>
    <w:lvl w:ilvl="6" w:tplc="DB34F480">
      <w:start w:val="1"/>
      <w:numFmt w:val="bullet"/>
      <w:lvlText w:val=""/>
      <w:lvlJc w:val="left"/>
      <w:pPr>
        <w:tabs>
          <w:tab w:val="num" w:pos="5040"/>
        </w:tabs>
        <w:ind w:left="5040" w:hanging="360"/>
      </w:pPr>
      <w:rPr>
        <w:rFonts w:ascii="Wingdings" w:hAnsi="Wingdings" w:cs="Wingdings" w:hint="default"/>
        <w:sz w:val="20"/>
        <w:szCs w:val="20"/>
      </w:rPr>
    </w:lvl>
    <w:lvl w:ilvl="7" w:tplc="9208E382">
      <w:start w:val="1"/>
      <w:numFmt w:val="bullet"/>
      <w:lvlText w:val=""/>
      <w:lvlJc w:val="left"/>
      <w:pPr>
        <w:tabs>
          <w:tab w:val="num" w:pos="5760"/>
        </w:tabs>
        <w:ind w:left="5760" w:hanging="360"/>
      </w:pPr>
      <w:rPr>
        <w:rFonts w:ascii="Wingdings" w:hAnsi="Wingdings" w:cs="Wingdings" w:hint="default"/>
        <w:sz w:val="20"/>
        <w:szCs w:val="20"/>
      </w:rPr>
    </w:lvl>
    <w:lvl w:ilvl="8" w:tplc="7C9E335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70A83654"/>
    <w:multiLevelType w:val="hybridMultilevel"/>
    <w:tmpl w:val="F1A84818"/>
    <w:lvl w:ilvl="0" w:tplc="3F5C1280">
      <w:start w:val="2"/>
      <w:numFmt w:val="decimal"/>
      <w:lvlText w:val="%1."/>
      <w:lvlJc w:val="left"/>
      <w:pPr>
        <w:tabs>
          <w:tab w:val="num" w:pos="720"/>
        </w:tabs>
        <w:ind w:left="720" w:hanging="360"/>
      </w:pPr>
    </w:lvl>
    <w:lvl w:ilvl="1" w:tplc="FB6A9CF0">
      <w:start w:val="1"/>
      <w:numFmt w:val="decimal"/>
      <w:lvlText w:val="%2."/>
      <w:lvlJc w:val="left"/>
      <w:pPr>
        <w:tabs>
          <w:tab w:val="num" w:pos="1440"/>
        </w:tabs>
        <w:ind w:left="1440" w:hanging="360"/>
      </w:pPr>
    </w:lvl>
    <w:lvl w:ilvl="2" w:tplc="3DDC9C6A">
      <w:start w:val="1"/>
      <w:numFmt w:val="decimal"/>
      <w:lvlText w:val="%3."/>
      <w:lvlJc w:val="left"/>
      <w:pPr>
        <w:tabs>
          <w:tab w:val="num" w:pos="2160"/>
        </w:tabs>
        <w:ind w:left="2160" w:hanging="360"/>
      </w:pPr>
    </w:lvl>
    <w:lvl w:ilvl="3" w:tplc="296C7E78">
      <w:start w:val="1"/>
      <w:numFmt w:val="decimal"/>
      <w:lvlText w:val="%4."/>
      <w:lvlJc w:val="left"/>
      <w:pPr>
        <w:tabs>
          <w:tab w:val="num" w:pos="2880"/>
        </w:tabs>
        <w:ind w:left="2880" w:hanging="360"/>
      </w:pPr>
    </w:lvl>
    <w:lvl w:ilvl="4" w:tplc="404E62DC">
      <w:start w:val="1"/>
      <w:numFmt w:val="decimal"/>
      <w:lvlText w:val="%5."/>
      <w:lvlJc w:val="left"/>
      <w:pPr>
        <w:tabs>
          <w:tab w:val="num" w:pos="3600"/>
        </w:tabs>
        <w:ind w:left="3600" w:hanging="360"/>
      </w:pPr>
    </w:lvl>
    <w:lvl w:ilvl="5" w:tplc="2FD438B0">
      <w:start w:val="1"/>
      <w:numFmt w:val="decimal"/>
      <w:lvlText w:val="%6."/>
      <w:lvlJc w:val="left"/>
      <w:pPr>
        <w:tabs>
          <w:tab w:val="num" w:pos="4320"/>
        </w:tabs>
        <w:ind w:left="4320" w:hanging="360"/>
      </w:pPr>
    </w:lvl>
    <w:lvl w:ilvl="6" w:tplc="1C7C1D16">
      <w:start w:val="1"/>
      <w:numFmt w:val="decimal"/>
      <w:lvlText w:val="%7."/>
      <w:lvlJc w:val="left"/>
      <w:pPr>
        <w:tabs>
          <w:tab w:val="num" w:pos="5040"/>
        </w:tabs>
        <w:ind w:left="5040" w:hanging="360"/>
      </w:pPr>
    </w:lvl>
    <w:lvl w:ilvl="7" w:tplc="421EDA7A">
      <w:start w:val="1"/>
      <w:numFmt w:val="decimal"/>
      <w:lvlText w:val="%8."/>
      <w:lvlJc w:val="left"/>
      <w:pPr>
        <w:tabs>
          <w:tab w:val="num" w:pos="5760"/>
        </w:tabs>
        <w:ind w:left="5760" w:hanging="360"/>
      </w:pPr>
    </w:lvl>
    <w:lvl w:ilvl="8" w:tplc="0C767AC4">
      <w:start w:val="1"/>
      <w:numFmt w:val="decimal"/>
      <w:lvlText w:val="%9."/>
      <w:lvlJc w:val="left"/>
      <w:pPr>
        <w:tabs>
          <w:tab w:val="num" w:pos="6480"/>
        </w:tabs>
        <w:ind w:left="6480" w:hanging="360"/>
      </w:pPr>
    </w:lvl>
  </w:abstractNum>
  <w:abstractNum w:abstractNumId="18">
    <w:nsid w:val="7F314D50"/>
    <w:multiLevelType w:val="hybridMultilevel"/>
    <w:tmpl w:val="95EAC476"/>
    <w:lvl w:ilvl="0" w:tplc="656E8B80">
      <w:start w:val="1"/>
      <w:numFmt w:val="bullet"/>
      <w:lvlText w:val=""/>
      <w:lvlJc w:val="left"/>
      <w:pPr>
        <w:tabs>
          <w:tab w:val="num" w:pos="720"/>
        </w:tabs>
        <w:ind w:left="720" w:hanging="360"/>
      </w:pPr>
      <w:rPr>
        <w:rFonts w:ascii="Symbol" w:hAnsi="Symbol" w:cs="Symbol" w:hint="default"/>
        <w:sz w:val="20"/>
        <w:szCs w:val="20"/>
      </w:rPr>
    </w:lvl>
    <w:lvl w:ilvl="1" w:tplc="3AD42220">
      <w:start w:val="1"/>
      <w:numFmt w:val="bullet"/>
      <w:lvlText w:val="o"/>
      <w:lvlJc w:val="left"/>
      <w:pPr>
        <w:tabs>
          <w:tab w:val="num" w:pos="1440"/>
        </w:tabs>
        <w:ind w:left="1440" w:hanging="360"/>
      </w:pPr>
      <w:rPr>
        <w:rFonts w:ascii="Courier New" w:hAnsi="Courier New" w:cs="Courier New" w:hint="default"/>
        <w:sz w:val="20"/>
        <w:szCs w:val="20"/>
      </w:rPr>
    </w:lvl>
    <w:lvl w:ilvl="2" w:tplc="A0F67E90">
      <w:start w:val="1"/>
      <w:numFmt w:val="bullet"/>
      <w:lvlText w:val=""/>
      <w:lvlJc w:val="left"/>
      <w:pPr>
        <w:tabs>
          <w:tab w:val="num" w:pos="2160"/>
        </w:tabs>
        <w:ind w:left="2160" w:hanging="360"/>
      </w:pPr>
      <w:rPr>
        <w:rFonts w:ascii="Wingdings" w:hAnsi="Wingdings" w:cs="Wingdings" w:hint="default"/>
        <w:sz w:val="20"/>
        <w:szCs w:val="20"/>
      </w:rPr>
    </w:lvl>
    <w:lvl w:ilvl="3" w:tplc="FC0ACBCC">
      <w:start w:val="1"/>
      <w:numFmt w:val="bullet"/>
      <w:lvlText w:val=""/>
      <w:lvlJc w:val="left"/>
      <w:pPr>
        <w:tabs>
          <w:tab w:val="num" w:pos="2880"/>
        </w:tabs>
        <w:ind w:left="2880" w:hanging="360"/>
      </w:pPr>
      <w:rPr>
        <w:rFonts w:ascii="Wingdings" w:hAnsi="Wingdings" w:cs="Wingdings" w:hint="default"/>
        <w:sz w:val="20"/>
        <w:szCs w:val="20"/>
      </w:rPr>
    </w:lvl>
    <w:lvl w:ilvl="4" w:tplc="E2EC182C">
      <w:start w:val="1"/>
      <w:numFmt w:val="bullet"/>
      <w:lvlText w:val=""/>
      <w:lvlJc w:val="left"/>
      <w:pPr>
        <w:tabs>
          <w:tab w:val="num" w:pos="3600"/>
        </w:tabs>
        <w:ind w:left="3600" w:hanging="360"/>
      </w:pPr>
      <w:rPr>
        <w:rFonts w:ascii="Wingdings" w:hAnsi="Wingdings" w:cs="Wingdings" w:hint="default"/>
        <w:sz w:val="20"/>
        <w:szCs w:val="20"/>
      </w:rPr>
    </w:lvl>
    <w:lvl w:ilvl="5" w:tplc="9A2AAE00">
      <w:start w:val="1"/>
      <w:numFmt w:val="bullet"/>
      <w:lvlText w:val=""/>
      <w:lvlJc w:val="left"/>
      <w:pPr>
        <w:tabs>
          <w:tab w:val="num" w:pos="4320"/>
        </w:tabs>
        <w:ind w:left="4320" w:hanging="360"/>
      </w:pPr>
      <w:rPr>
        <w:rFonts w:ascii="Wingdings" w:hAnsi="Wingdings" w:cs="Wingdings" w:hint="default"/>
        <w:sz w:val="20"/>
        <w:szCs w:val="20"/>
      </w:rPr>
    </w:lvl>
    <w:lvl w:ilvl="6" w:tplc="DE12F672">
      <w:start w:val="1"/>
      <w:numFmt w:val="bullet"/>
      <w:lvlText w:val=""/>
      <w:lvlJc w:val="left"/>
      <w:pPr>
        <w:tabs>
          <w:tab w:val="num" w:pos="5040"/>
        </w:tabs>
        <w:ind w:left="5040" w:hanging="360"/>
      </w:pPr>
      <w:rPr>
        <w:rFonts w:ascii="Wingdings" w:hAnsi="Wingdings" w:cs="Wingdings" w:hint="default"/>
        <w:sz w:val="20"/>
        <w:szCs w:val="20"/>
      </w:rPr>
    </w:lvl>
    <w:lvl w:ilvl="7" w:tplc="0630C3D2">
      <w:start w:val="1"/>
      <w:numFmt w:val="bullet"/>
      <w:lvlText w:val=""/>
      <w:lvlJc w:val="left"/>
      <w:pPr>
        <w:tabs>
          <w:tab w:val="num" w:pos="5760"/>
        </w:tabs>
        <w:ind w:left="5760" w:hanging="360"/>
      </w:pPr>
      <w:rPr>
        <w:rFonts w:ascii="Wingdings" w:hAnsi="Wingdings" w:cs="Wingdings" w:hint="default"/>
        <w:sz w:val="20"/>
        <w:szCs w:val="20"/>
      </w:rPr>
    </w:lvl>
    <w:lvl w:ilvl="8" w:tplc="EA4E5F1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6"/>
  </w:num>
  <w:num w:numId="2">
    <w:abstractNumId w:val="5"/>
  </w:num>
  <w:num w:numId="3">
    <w:abstractNumId w:val="11"/>
  </w:num>
  <w:num w:numId="4">
    <w:abstractNumId w:val="3"/>
  </w:num>
  <w:num w:numId="5">
    <w:abstractNumId w:val="17"/>
  </w:num>
  <w:num w:numId="6">
    <w:abstractNumId w:val="2"/>
  </w:num>
  <w:num w:numId="7">
    <w:abstractNumId w:val="0"/>
  </w:num>
  <w:num w:numId="8">
    <w:abstractNumId w:val="9"/>
  </w:num>
  <w:num w:numId="9">
    <w:abstractNumId w:val="14"/>
  </w:num>
  <w:num w:numId="10">
    <w:abstractNumId w:val="4"/>
  </w:num>
  <w:num w:numId="11">
    <w:abstractNumId w:val="18"/>
  </w:num>
  <w:num w:numId="12">
    <w:abstractNumId w:val="13"/>
  </w:num>
  <w:num w:numId="13">
    <w:abstractNumId w:val="12"/>
  </w:num>
  <w:num w:numId="14">
    <w:abstractNumId w:val="16"/>
  </w:num>
  <w:num w:numId="15">
    <w:abstractNumId w:val="7"/>
  </w:num>
  <w:num w:numId="16">
    <w:abstractNumId w:val="8"/>
  </w:num>
  <w:num w:numId="17">
    <w:abstractNumId w:val="10"/>
  </w:num>
  <w:num w:numId="18">
    <w:abstractNumId w:val="1"/>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3AFE"/>
    <w:rsid w:val="008D5D72"/>
    <w:rsid w:val="00903AFE"/>
    <w:rsid w:val="00930642"/>
    <w:rsid w:val="00CE0A1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F1BB65C-5513-40FC-A469-E41C283E4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rPr>
      <w:b/>
      <w:bCs/>
      <w:sz w:val="28"/>
      <w:szCs w:val="28"/>
    </w:rPr>
  </w:style>
  <w:style w:type="paragraph" w:customStyle="1" w:styleId="tbl2">
    <w:name w:val="tbl2"/>
    <w:basedOn w:val="a"/>
    <w:uiPriority w:val="99"/>
    <w:pPr>
      <w:spacing w:before="100" w:beforeAutospacing="1" w:after="100" w:afterAutospacing="1"/>
    </w:pPr>
    <w:rPr>
      <w:rFonts w:ascii="Arial" w:hAnsi="Arial" w:cs="Arial"/>
      <w:b/>
      <w:bCs/>
      <w:color w:val="000000"/>
      <w:sz w:val="18"/>
      <w:szCs w:val="18"/>
    </w:rPr>
  </w:style>
  <w:style w:type="paragraph" w:customStyle="1" w:styleId="tbl1">
    <w:name w:val="tbl1"/>
    <w:basedOn w:val="a"/>
    <w:uiPriority w:val="99"/>
    <w:pPr>
      <w:spacing w:before="100" w:beforeAutospacing="1" w:after="100" w:afterAutospacing="1"/>
    </w:pPr>
    <w:rPr>
      <w:rFonts w:ascii="Arial" w:hAnsi="Arial" w:cs="Arial"/>
      <w:color w:val="000000"/>
      <w:sz w:val="18"/>
      <w:szCs w:val="18"/>
    </w:rPr>
  </w:style>
  <w:style w:type="paragraph" w:customStyle="1" w:styleId="info">
    <w:name w:val="info"/>
    <w:basedOn w:val="a"/>
    <w:uiPriority w:val="99"/>
    <w:pPr>
      <w:shd w:val="clear" w:color="auto" w:fill="FFFFFF"/>
      <w:spacing w:before="100" w:beforeAutospacing="1" w:after="100" w:afterAutospacing="1"/>
    </w:pPr>
    <w:rPr>
      <w:rFonts w:ascii="Arial" w:hAnsi="Arial" w:cs="Arial"/>
      <w:color w:val="000000"/>
      <w:sz w:val="18"/>
      <w:szCs w:val="18"/>
    </w:rPr>
  </w:style>
  <w:style w:type="paragraph" w:customStyle="1" w:styleId="info2">
    <w:name w:val="info2"/>
    <w:basedOn w:val="a"/>
    <w:uiPriority w:val="99"/>
    <w:pPr>
      <w:shd w:val="clear" w:color="auto" w:fill="FFFFFF"/>
      <w:spacing w:before="100" w:beforeAutospacing="1" w:after="100" w:afterAutospacing="1"/>
    </w:pPr>
    <w:rPr>
      <w:rFonts w:ascii="Arial" w:hAnsi="Arial" w:cs="Arial"/>
      <w:color w:val="000000"/>
      <w:sz w:val="17"/>
      <w:szCs w:val="17"/>
    </w:rPr>
  </w:style>
  <w:style w:type="paragraph" w:customStyle="1" w:styleId="tbl2over">
    <w:name w:val="tbl2over"/>
    <w:basedOn w:val="a"/>
    <w:uiPriority w:val="99"/>
    <w:pPr>
      <w:spacing w:before="100" w:beforeAutospacing="1" w:after="100" w:afterAutospacing="1"/>
    </w:pPr>
    <w:rPr>
      <w:rFonts w:ascii="Arial" w:hAnsi="Arial" w:cs="Arial"/>
      <w:b/>
      <w:bCs/>
      <w:color w:val="000000"/>
      <w:sz w:val="18"/>
      <w:szCs w:val="18"/>
    </w:rPr>
  </w:style>
  <w:style w:type="paragraph" w:customStyle="1" w:styleId="bottom">
    <w:name w:val="bottom"/>
    <w:basedOn w:val="a"/>
    <w:uiPriority w:val="99"/>
    <w:pPr>
      <w:spacing w:before="100" w:beforeAutospacing="1" w:after="100" w:afterAutospacing="1"/>
      <w:textAlignment w:val="bottom"/>
    </w:pPr>
    <w:rPr>
      <w:sz w:val="24"/>
      <w:szCs w:val="24"/>
    </w:rPr>
  </w:style>
  <w:style w:type="paragraph" w:customStyle="1" w:styleId="top">
    <w:name w:val="top"/>
    <w:basedOn w:val="a"/>
    <w:uiPriority w:val="99"/>
    <w:pPr>
      <w:spacing w:before="100" w:beforeAutospacing="1" w:after="100" w:afterAutospacing="1"/>
      <w:textAlignment w:val="top"/>
    </w:pPr>
    <w:rPr>
      <w:sz w:val="24"/>
      <w:szCs w:val="24"/>
    </w:rPr>
  </w:style>
  <w:style w:type="paragraph" w:customStyle="1" w:styleId="poster">
    <w:name w:val="poster"/>
    <w:basedOn w:val="a"/>
    <w:uiPriority w:val="99"/>
    <w:pPr>
      <w:spacing w:before="100" w:beforeAutospacing="1" w:after="100" w:afterAutospacing="1"/>
    </w:pPr>
    <w:rPr>
      <w:sz w:val="18"/>
      <w:szCs w:val="18"/>
    </w:rPr>
  </w:style>
  <w:style w:type="paragraph" w:styleId="a3">
    <w:name w:val="Normal (Web)"/>
    <w:basedOn w:val="a"/>
    <w:uiPriority w:val="99"/>
    <w:pPr>
      <w:spacing w:before="100" w:beforeAutospacing="1" w:after="100" w:afterAutospacing="1"/>
    </w:pPr>
    <w:rPr>
      <w:sz w:val="24"/>
      <w:szCs w:val="24"/>
    </w:rPr>
  </w:style>
  <w:style w:type="paragraph" w:styleId="a4">
    <w:name w:val="footnote text"/>
    <w:basedOn w:val="a"/>
    <w:link w:val="a5"/>
    <w:uiPriority w:val="99"/>
  </w:style>
  <w:style w:type="character" w:customStyle="1" w:styleId="a5">
    <w:name w:val="Текст сноски Знак"/>
    <w:link w:val="a4"/>
    <w:uiPriority w:val="99"/>
    <w:semiHidden/>
    <w:rPr>
      <w:rFonts w:ascii="Times New Roman" w:hAnsi="Times New Roman" w:cs="Times New Roman"/>
      <w:sz w:val="20"/>
      <w:szCs w:val="20"/>
    </w:rPr>
  </w:style>
  <w:style w:type="character" w:styleId="a6">
    <w:name w:val="footnote reference"/>
    <w:uiPriority w:val="99"/>
    <w:rPr>
      <w:vertAlign w:val="superscript"/>
    </w:rPr>
  </w:style>
  <w:style w:type="character" w:styleId="a7">
    <w:name w:val="Hyperlink"/>
    <w:uiPriority w:val="99"/>
    <w:rPr>
      <w:b/>
      <w:bCs/>
      <w:color w:val="00008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8952</Words>
  <Characters>5104</Characters>
  <Application>Microsoft Office Word</Application>
  <DocSecurity>0</DocSecurity>
  <Lines>42</Lines>
  <Paragraphs>28</Paragraphs>
  <ScaleCrop>false</ScaleCrop>
  <HeadingPairs>
    <vt:vector size="2" baseType="variant">
      <vt:variant>
        <vt:lpstr>Название</vt:lpstr>
      </vt:variant>
      <vt:variant>
        <vt:i4>1</vt:i4>
      </vt:variant>
    </vt:vector>
  </HeadingPairs>
  <TitlesOfParts>
    <vt:vector size="1" baseType="lpstr">
      <vt:lpstr>Значение примирения в стадии подготовки дела к судебному разбирательству</vt:lpstr>
    </vt:vector>
  </TitlesOfParts>
  <Company>PERSONAL COMPUTERS</Company>
  <LinksUpToDate>false</LinksUpToDate>
  <CharactersWithSpaces>14028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Значение примирения в стадии подготовки дела к судебному разбирательству</dc:title>
  <dc:subject/>
  <dc:creator>USER</dc:creator>
  <cp:keywords/>
  <dc:description/>
  <cp:lastModifiedBy>admin</cp:lastModifiedBy>
  <cp:revision>2</cp:revision>
  <dcterms:created xsi:type="dcterms:W3CDTF">2014-01-26T13:31:00Z</dcterms:created>
  <dcterms:modified xsi:type="dcterms:W3CDTF">2014-01-26T13:31:00Z</dcterms:modified>
</cp:coreProperties>
</file>